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1398269</wp:posOffset>
                </wp:positionH>
                <wp:positionV relativeFrom="line">
                  <wp:posOffset>-152399</wp:posOffset>
                </wp:positionV>
                <wp:extent cx="2892307" cy="396241"/>
                <wp:effectExtent l="0" t="0" r="0" b="0"/>
                <wp:wrapNone/>
                <wp:docPr id="1073741825" name="officeArt object" descr="Sun 5pm April 27, 2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2307" cy="396241"/>
                        </a:xfrm>
                        <a:prstGeom prst="rect">
                          <a:avLst/>
                        </a:prstGeom>
                        <a:solidFill>
                          <a:srgbClr val="D5D5D5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b w:val="1"/>
                                <w:bCs w:val="1"/>
                                <w:sz w:val="40"/>
                                <w:szCs w:val="40"/>
                                <w:rtl w:val="0"/>
                                <w:lang w:val="en-US"/>
                              </w:rPr>
                              <w:t>Sun 5pm April 27, 2025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110.1pt;margin-top:-12.0pt;width:227.7pt;height:31.2pt;z-index:25165926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D5D5D5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b w:val="1"/>
                          <w:bCs w:val="1"/>
                          <w:sz w:val="40"/>
                          <w:szCs w:val="40"/>
                          <w:rtl w:val="0"/>
                          <w:lang w:val="en-US"/>
                        </w:rPr>
                        <w:t>Sun 5pm April 27, 2025</w:t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A popular idea in our society is,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Violence is wrong.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Is it? Often this idea is used to denounce killing animals, capital punishment, killing a home intruder, </w:t>
      </w:r>
      <w:r>
        <w:rPr>
          <w:rtl w:val="0"/>
          <w:lang w:val="pt-PT"/>
        </w:rPr>
        <w:t>corporal discipline,</w:t>
      </w:r>
      <w:r>
        <w:rPr>
          <w:rtl w:val="0"/>
          <w:lang w:val="en-US"/>
        </w:rPr>
        <w:t xml:space="preserve"> severe verbal rebuke (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psychological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violence), intolerance and opposition to opposing moral or religious views, </w:t>
      </w:r>
      <w:r>
        <w:rPr>
          <w:rtl w:val="0"/>
          <w:lang w:val="en-US"/>
        </w:rPr>
        <w:t xml:space="preserve">, strong feelings or views relative to something, </w:t>
      </w:r>
      <w:r>
        <w:rPr>
          <w:rtl w:val="0"/>
          <w:lang w:val="en-US"/>
        </w:rPr>
        <w:t>etc.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We likely will not get to all the references, however it might be useful to make some notes on these texts </w:t>
      </w:r>
      <w:r>
        <w:rPr>
          <w:rtl w:val="0"/>
          <w:lang w:val="en-US"/>
        </w:rPr>
        <w:t>for future reference</w:t>
      </w:r>
      <w:r>
        <w:rPr>
          <w:rtl w:val="0"/>
          <w:lang w:val="en-US"/>
        </w:rPr>
        <w:t>.</w:t>
      </w: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bidi w:val="0"/>
      </w:pPr>
      <w:r>
        <w:rPr>
          <w:rtl w:val="0"/>
          <w:lang w:val="en-US"/>
        </w:rPr>
        <w:t xml:space="preserve">What is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violence</w:t>
      </w:r>
      <w:r>
        <w:rPr>
          <w:rtl w:val="0"/>
          <w:lang w:val="en-US"/>
        </w:rPr>
        <w:t>”</w:t>
      </w:r>
      <w:r>
        <w:rPr>
          <w:rtl w:val="0"/>
          <w:lang w:val="en-US"/>
        </w:rPr>
        <w:t>? Vital to communication is defining terms</w:t>
      </w:r>
      <w:r>
        <w:rPr>
          <w:rtl w:val="0"/>
          <w:lang w:val="en-US"/>
        </w:rPr>
        <w:t>—</w:t>
      </w:r>
      <w:r>
        <w:rPr>
          <w:rtl w:val="0"/>
          <w:lang w:val="en-US"/>
        </w:rPr>
        <w:t xml:space="preserve">are we talking about the same thing we talk about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violence</w:t>
      </w:r>
      <w:r>
        <w:rPr>
          <w:rtl w:val="0"/>
          <w:lang w:val="en-US"/>
        </w:rPr>
        <w:t>”</w:t>
      </w:r>
      <w:r>
        <w:rPr>
          <w:rtl w:val="0"/>
          <w:lang w:val="en-US"/>
        </w:rPr>
        <w:t xml:space="preserve">? Dictionaries define words as they are used in society. </w:t>
      </w:r>
    </w:p>
    <w:p>
      <w:pPr>
        <w:pStyle w:val="Body"/>
        <w:numPr>
          <w:ilvl w:val="1"/>
          <w:numId w:val="2"/>
        </w:numPr>
        <w:bidi w:val="0"/>
      </w:pPr>
      <w:r>
        <w:rPr>
          <w:rtl w:val="0"/>
          <w:lang w:val="en-US"/>
        </w:rPr>
        <w:t xml:space="preserve">What are some of the definitions for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violence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or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violent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listed in a dictionary? </w:t>
      </w:r>
    </w:p>
    <w:p>
      <w:pPr>
        <w:pStyle w:val="Body"/>
        <w:numPr>
          <w:ilvl w:val="1"/>
          <w:numId w:val="2"/>
        </w:numPr>
        <w:bidi w:val="0"/>
      </w:pPr>
      <w:r>
        <w:rPr>
          <w:rtl w:val="0"/>
          <w:lang w:val="en-US"/>
        </w:rPr>
        <w:t xml:space="preserve">What is the etymology of the word? </w:t>
      </w: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bidi w:val="0"/>
      </w:pPr>
      <w:r>
        <w:rPr>
          <w:rtl w:val="0"/>
          <w:lang w:val="en-US"/>
        </w:rPr>
        <w:t xml:space="preserve">Key to what determines whether an action called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violent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>is right or wrong is the standard by which the action is measured.</w:t>
      </w:r>
    </w:p>
    <w:p>
      <w:pPr>
        <w:pStyle w:val="Body"/>
        <w:numPr>
          <w:ilvl w:val="1"/>
          <w:numId w:val="2"/>
        </w:numPr>
        <w:bidi w:val="0"/>
      </w:pPr>
      <w:r>
        <w:rPr>
          <w:rtl w:val="0"/>
          <w:lang w:val="en-US"/>
        </w:rPr>
        <w:t>What was Hitler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standard for murdering innocent Jews?</w:t>
      </w:r>
    </w:p>
    <w:p>
      <w:pPr>
        <w:pStyle w:val="Body"/>
        <w:numPr>
          <w:ilvl w:val="1"/>
          <w:numId w:val="2"/>
        </w:numPr>
        <w:bidi w:val="0"/>
      </w:pPr>
      <w:r>
        <w:rPr>
          <w:rtl w:val="0"/>
          <w:lang w:val="en-US"/>
        </w:rPr>
        <w:t>What is a the standard for a gang who robs, destroys, and even kills if deemed necessary?</w:t>
      </w:r>
    </w:p>
    <w:p>
      <w:pPr>
        <w:pStyle w:val="Body"/>
        <w:numPr>
          <w:ilvl w:val="1"/>
          <w:numId w:val="2"/>
        </w:numPr>
        <w:bidi w:val="0"/>
      </w:pPr>
      <w:r>
        <w:rPr>
          <w:rtl w:val="0"/>
          <w:lang w:val="en-US"/>
        </w:rPr>
        <w:t>What is the standard that makes an abusive parent or mate believe what they are doing is OK?</w:t>
      </w:r>
    </w:p>
    <w:p>
      <w:pPr>
        <w:pStyle w:val="Body"/>
        <w:numPr>
          <w:ilvl w:val="1"/>
          <w:numId w:val="2"/>
        </w:numPr>
        <w:bidi w:val="0"/>
      </w:pPr>
      <w:r>
        <w:rPr>
          <w:rtl w:val="0"/>
          <w:lang w:val="en-US"/>
        </w:rPr>
        <w:t xml:space="preserve">Is there a </w:t>
      </w:r>
      <w:r>
        <w:rPr>
          <w:i w:val="1"/>
          <w:iCs w:val="1"/>
          <w:rtl w:val="0"/>
          <w:lang w:val="en-US"/>
        </w:rPr>
        <w:t>universal</w:t>
      </w:r>
      <w:r>
        <w:rPr>
          <w:rtl w:val="0"/>
          <w:lang w:val="en-US"/>
        </w:rPr>
        <w:t xml:space="preserve"> standard that applies to </w:t>
      </w:r>
      <w:r>
        <w:rPr>
          <w:i w:val="1"/>
          <w:iCs w:val="1"/>
          <w:rtl w:val="0"/>
          <w:lang w:val="en-US"/>
        </w:rPr>
        <w:t>all</w:t>
      </w:r>
      <w:r>
        <w:rPr>
          <w:rtl w:val="0"/>
          <w:lang w:val="en-US"/>
        </w:rPr>
        <w:t xml:space="preserve"> people? If so, what is it? Compare </w:t>
      </w:r>
      <w:r>
        <w:rPr>
          <w:b w:val="1"/>
          <w:bCs w:val="1"/>
          <w:rtl w:val="0"/>
          <w:lang w:val="en-US"/>
        </w:rPr>
        <w:t>Mt 12:35-40; Rom 1:18,28-32; Ac 17:24,26-27,30-31</w:t>
      </w:r>
      <w:r>
        <w:rPr>
          <w:rtl w:val="0"/>
          <w:lang w:val="en-US"/>
        </w:rPr>
        <w:t>.</w:t>
      </w: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bidi w:val="0"/>
      </w:pPr>
      <w:r>
        <w:rPr>
          <w:rtl w:val="0"/>
          <w:lang w:val="en-US"/>
        </w:rPr>
        <w:t xml:space="preserve">Could the actions in the following Scriptures be called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violent</w:t>
      </w:r>
      <w:r>
        <w:rPr>
          <w:rtl w:val="0"/>
          <w:lang w:val="en-US"/>
        </w:rPr>
        <w:t>”</w:t>
      </w:r>
      <w:r>
        <w:rPr>
          <w:rtl w:val="0"/>
          <w:lang w:val="en-US"/>
        </w:rPr>
        <w:t>?</w:t>
      </w:r>
    </w:p>
    <w:p>
      <w:pPr>
        <w:pStyle w:val="Body"/>
        <w:numPr>
          <w:ilvl w:val="1"/>
          <w:numId w:val="2"/>
        </w:numPr>
        <w:bidi w:val="0"/>
      </w:pPr>
      <w:r>
        <w:rPr>
          <w:b w:val="1"/>
          <w:bCs w:val="1"/>
          <w:rtl w:val="0"/>
          <w:lang w:val="en-US"/>
        </w:rPr>
        <w:t>Gen 9:6</w:t>
      </w:r>
      <w:r>
        <w:rPr>
          <w:rtl w:val="0"/>
          <w:lang w:val="en-US"/>
        </w:rPr>
        <w:t xml:space="preserve">; </w:t>
      </w:r>
      <w:r>
        <w:rPr>
          <w:b w:val="1"/>
          <w:bCs w:val="1"/>
          <w:rtl w:val="0"/>
          <w:lang w:val="en-US"/>
        </w:rPr>
        <w:t>Rom 13:4</w:t>
      </w:r>
      <w:r>
        <w:rPr>
          <w:rtl w:val="0"/>
          <w:lang w:val="en-US"/>
        </w:rPr>
        <w:t xml:space="preserve"> (see </w:t>
      </w:r>
      <w:r>
        <w:rPr>
          <w:b w:val="1"/>
          <w:bCs w:val="1"/>
          <w:rtl w:val="0"/>
          <w:lang w:val="en-US"/>
        </w:rPr>
        <w:t>Num 35:16-21</w:t>
      </w:r>
      <w:r>
        <w:rPr>
          <w:rtl w:val="0"/>
          <w:lang w:val="en-US"/>
        </w:rPr>
        <w:t>)</w:t>
      </w:r>
    </w:p>
    <w:p>
      <w:pPr>
        <w:pStyle w:val="Body"/>
        <w:numPr>
          <w:ilvl w:val="1"/>
          <w:numId w:val="2"/>
        </w:numPr>
        <w:bidi w:val="0"/>
      </w:pPr>
      <w:r>
        <w:rPr>
          <w:b w:val="1"/>
          <w:bCs w:val="1"/>
          <w:rtl w:val="0"/>
          <w:lang w:val="en-US"/>
        </w:rPr>
        <w:t>Lev 1:4-9</w:t>
      </w:r>
      <w:r>
        <w:rPr>
          <w:rtl w:val="0"/>
          <w:lang w:val="en-US"/>
        </w:rPr>
        <w:t xml:space="preserve"> (see </w:t>
      </w:r>
      <w:r>
        <w:rPr>
          <w:b w:val="1"/>
          <w:bCs w:val="1"/>
          <w:rtl w:val="0"/>
          <w:lang w:val="en-US"/>
        </w:rPr>
        <w:t>Num 29:12-16, 17f</w:t>
      </w:r>
      <w:r>
        <w:rPr>
          <w:rtl w:val="0"/>
          <w:lang w:val="en-US"/>
        </w:rPr>
        <w:t>!)</w:t>
      </w:r>
    </w:p>
    <w:p>
      <w:pPr>
        <w:pStyle w:val="Body"/>
        <w:numPr>
          <w:ilvl w:val="1"/>
          <w:numId w:val="2"/>
        </w:numPr>
        <w:bidi w:val="0"/>
      </w:pPr>
      <w:r>
        <w:rPr>
          <w:b w:val="1"/>
          <w:bCs w:val="1"/>
          <w:rtl w:val="0"/>
          <w:lang w:val="en-US"/>
        </w:rPr>
        <w:t>Num 22:2-3</w:t>
      </w:r>
    </w:p>
    <w:p>
      <w:pPr>
        <w:pStyle w:val="Body"/>
        <w:numPr>
          <w:ilvl w:val="1"/>
          <w:numId w:val="2"/>
        </w:numPr>
        <w:bidi w:val="0"/>
      </w:pPr>
      <w:r>
        <w:rPr>
          <w:b w:val="1"/>
          <w:bCs w:val="1"/>
          <w:rtl w:val="0"/>
          <w:lang w:val="en-US"/>
        </w:rPr>
        <w:t>Pro 23:13-14</w:t>
      </w:r>
    </w:p>
    <w:p>
      <w:pPr>
        <w:pStyle w:val="Body"/>
        <w:numPr>
          <w:ilvl w:val="1"/>
          <w:numId w:val="2"/>
        </w:numPr>
        <w:bidi w:val="0"/>
      </w:pPr>
      <w:r>
        <w:rPr>
          <w:b w:val="1"/>
          <w:bCs w:val="1"/>
          <w:rtl w:val="0"/>
          <w:lang w:val="en-US"/>
        </w:rPr>
        <w:t>Mt 3:7; 23:13</w:t>
      </w:r>
      <w:r>
        <w:rPr>
          <w:rtl w:val="0"/>
          <w:lang w:val="en-US"/>
        </w:rPr>
        <w:t xml:space="preserve"> (and following); </w:t>
      </w:r>
      <w:r>
        <w:rPr>
          <w:b w:val="1"/>
          <w:bCs w:val="1"/>
          <w:rtl w:val="0"/>
          <w:lang w:val="en-US"/>
        </w:rPr>
        <w:t>Ac 7:51-53</w:t>
      </w:r>
      <w:r>
        <w:rPr>
          <w:rtl w:val="0"/>
          <w:lang w:val="en-US"/>
        </w:rPr>
        <w:t xml:space="preserve">; </w:t>
      </w:r>
      <w:r>
        <w:rPr>
          <w:b w:val="1"/>
          <w:bCs w:val="1"/>
          <w:rtl w:val="0"/>
          <w:lang w:val="en-US"/>
        </w:rPr>
        <w:t>Gal 5:12</w:t>
      </w: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bidi w:val="0"/>
      </w:pPr>
      <w:r>
        <w:rPr>
          <w:rtl w:val="0"/>
          <w:lang w:val="en-US"/>
        </w:rPr>
        <w:t xml:space="preserve">Examples of violence God did and will judge men for </w:t>
      </w:r>
      <w:r>
        <w:rPr>
          <w:rtl w:val="0"/>
          <w:lang w:val="en-US"/>
        </w:rPr>
        <w:t>…</w:t>
      </w:r>
    </w:p>
    <w:p>
      <w:pPr>
        <w:pStyle w:val="Body"/>
        <w:numPr>
          <w:ilvl w:val="1"/>
          <w:numId w:val="3"/>
        </w:numPr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Gen 6:5,11</w:t>
      </w:r>
      <w:r>
        <w:rPr>
          <w:b w:val="1"/>
          <w:bCs w:val="1"/>
          <w:rtl w:val="0"/>
          <w:lang w:val="en-US"/>
        </w:rPr>
        <w:t>…</w:t>
      </w:r>
      <w:r>
        <w:rPr>
          <w:b w:val="1"/>
          <w:bCs w:val="1"/>
          <w:rtl w:val="0"/>
          <w:lang w:val="en-US"/>
        </w:rPr>
        <w:t>13</w:t>
      </w:r>
    </w:p>
    <w:p>
      <w:pPr>
        <w:pStyle w:val="Body"/>
        <w:numPr>
          <w:ilvl w:val="1"/>
          <w:numId w:val="3"/>
        </w:numPr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Gen 49:5-7</w:t>
      </w:r>
    </w:p>
    <w:p>
      <w:pPr>
        <w:pStyle w:val="Body"/>
        <w:numPr>
          <w:ilvl w:val="1"/>
          <w:numId w:val="3"/>
        </w:numPr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Dt 24:7</w:t>
      </w:r>
    </w:p>
    <w:p>
      <w:pPr>
        <w:pStyle w:val="Body"/>
        <w:numPr>
          <w:ilvl w:val="1"/>
          <w:numId w:val="2"/>
        </w:numPr>
        <w:bidi w:val="0"/>
      </w:pPr>
      <w:r>
        <w:rPr>
          <w:b w:val="1"/>
          <w:bCs w:val="1"/>
          <w:rtl w:val="0"/>
          <w:lang w:val="en-US"/>
        </w:rPr>
        <w:t>Jdg 9:23-24</w:t>
      </w:r>
      <w:r>
        <w:rPr>
          <w:rtl w:val="0"/>
          <w:lang w:val="en-US"/>
        </w:rPr>
        <w:t xml:space="preserve"> (</w:t>
      </w:r>
      <w:r>
        <w:rPr>
          <w:b w:val="1"/>
          <w:bCs w:val="1"/>
          <w:rtl w:val="0"/>
          <w:lang w:val="en-US"/>
        </w:rPr>
        <w:t>Jdg 9:4-5</w:t>
      </w:r>
      <w:r>
        <w:rPr>
          <w:rtl w:val="0"/>
          <w:lang w:val="en-US"/>
        </w:rPr>
        <w:t>)</w:t>
      </w:r>
    </w:p>
    <w:p>
      <w:pPr>
        <w:pStyle w:val="Body"/>
        <w:numPr>
          <w:ilvl w:val="1"/>
          <w:numId w:val="2"/>
        </w:numPr>
        <w:bidi w:val="0"/>
      </w:pPr>
      <w:r>
        <w:rPr>
          <w:b w:val="1"/>
          <w:bCs w:val="1"/>
          <w:rtl w:val="0"/>
          <w:lang w:val="en-US"/>
        </w:rPr>
        <w:t>1Ki 2:8</w:t>
      </w:r>
      <w:r>
        <w:rPr>
          <w:rtl w:val="0"/>
          <w:lang w:val="en-US"/>
        </w:rPr>
        <w:t xml:space="preserve"> (NAS95) (</w:t>
      </w:r>
      <w:r>
        <w:rPr>
          <w:b w:val="1"/>
          <w:bCs w:val="1"/>
          <w:rtl w:val="0"/>
          <w:lang w:val="en-US"/>
        </w:rPr>
        <w:t>2Sam 16:5-8</w:t>
      </w:r>
      <w:r>
        <w:rPr>
          <w:rtl w:val="0"/>
          <w:lang w:val="en-US"/>
        </w:rPr>
        <w:t>)</w:t>
      </w:r>
    </w:p>
    <w:p>
      <w:pPr>
        <w:pStyle w:val="Body"/>
        <w:numPr>
          <w:ilvl w:val="1"/>
          <w:numId w:val="2"/>
        </w:numPr>
        <w:bidi w:val="0"/>
      </w:pPr>
      <w:r>
        <w:rPr>
          <w:b w:val="1"/>
          <w:bCs w:val="1"/>
          <w:rtl w:val="0"/>
          <w:lang w:val="en-US"/>
        </w:rPr>
        <w:t>Hos 4:2</w:t>
      </w:r>
      <w:r>
        <w:rPr>
          <w:rtl w:val="0"/>
          <w:lang w:val="en-US"/>
        </w:rPr>
        <w:t xml:space="preserve"> (contrast v1</w:t>
      </w:r>
      <w:r>
        <w:rPr>
          <w:rtl w:val="0"/>
          <w:lang w:val="en-US"/>
        </w:rPr>
        <w:t>—</w:t>
      </w:r>
      <w:r>
        <w:rPr>
          <w:rtl w:val="0"/>
          <w:lang w:val="en-US"/>
        </w:rPr>
        <w:t>compare NKJV, ESV, NAS95 footnote)</w:t>
      </w:r>
    </w:p>
    <w:p>
      <w:pPr>
        <w:pStyle w:val="Body"/>
        <w:numPr>
          <w:ilvl w:val="1"/>
          <w:numId w:val="3"/>
        </w:numPr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 xml:space="preserve">Obad 1:10-14 </w:t>
      </w:r>
    </w:p>
    <w:p>
      <w:pPr>
        <w:pStyle w:val="Body"/>
        <w:numPr>
          <w:ilvl w:val="1"/>
          <w:numId w:val="2"/>
        </w:numPr>
        <w:bidi w:val="0"/>
      </w:pPr>
      <w:r>
        <w:rPr>
          <w:b w:val="1"/>
          <w:bCs w:val="1"/>
          <w:rtl w:val="0"/>
          <w:lang w:val="en-US"/>
        </w:rPr>
        <w:t>Mal 2:16</w:t>
      </w:r>
      <w:r>
        <w:rPr>
          <w:rtl w:val="0"/>
          <w:lang w:val="en-US"/>
        </w:rPr>
        <w:t xml:space="preserve"> (NKJV,ESV, ASV; NAS95 footnote)</w:t>
      </w:r>
    </w:p>
    <w:p>
      <w:pPr>
        <w:pStyle w:val="Body"/>
        <w:numPr>
          <w:ilvl w:val="1"/>
          <w:numId w:val="2"/>
        </w:numPr>
        <w:bidi w:val="0"/>
      </w:pPr>
      <w:r>
        <w:rPr>
          <w:b w:val="1"/>
          <w:bCs w:val="1"/>
          <w:rtl w:val="0"/>
          <w:lang w:val="en-US"/>
        </w:rPr>
        <w:t>Ac 21:32-36</w:t>
      </w:r>
      <w:r>
        <w:rPr>
          <w:rtl w:val="0"/>
          <w:lang w:val="en-US"/>
        </w:rPr>
        <w:t xml:space="preserve"> (Note </w:t>
      </w:r>
      <w:r>
        <w:rPr>
          <w:b w:val="1"/>
          <w:bCs w:val="1"/>
          <w:rtl w:val="0"/>
          <w:lang w:val="en-US"/>
        </w:rPr>
        <w:t>Ac 24:7</w:t>
      </w:r>
      <w:r>
        <w:rPr>
          <w:rtl w:val="0"/>
          <w:lang w:val="en-US"/>
        </w:rPr>
        <w:t xml:space="preserve"> - a </w:t>
      </w:r>
      <w:r>
        <w:rPr>
          <w:i w:val="1"/>
          <w:iCs w:val="1"/>
          <w:rtl w:val="0"/>
          <w:lang w:val="en-US"/>
        </w:rPr>
        <w:t>false</w:t>
      </w:r>
      <w:r>
        <w:rPr>
          <w:rtl w:val="0"/>
          <w:lang w:val="en-US"/>
        </w:rPr>
        <w:t xml:space="preserve"> charge of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violence</w:t>
      </w:r>
      <w:r>
        <w:rPr>
          <w:rtl w:val="0"/>
          <w:lang w:val="en-US"/>
        </w:rPr>
        <w:t>”</w:t>
      </w:r>
      <w:r>
        <w:rPr>
          <w:rtl w:val="0"/>
          <w:lang w:val="en-US"/>
        </w:rPr>
        <w:t>)</w:t>
      </w:r>
    </w:p>
    <w:p>
      <w:pPr>
        <w:pStyle w:val="Body"/>
        <w:bidi w:val="0"/>
      </w:pPr>
    </w:p>
    <w:p>
      <w:pPr>
        <w:pStyle w:val="Body"/>
        <w:numPr>
          <w:ilvl w:val="0"/>
          <w:numId w:val="2"/>
        </w:numPr>
        <w:bidi w:val="0"/>
      </w:pPr>
      <w:r>
        <w:rPr>
          <w:rtl w:val="0"/>
          <w:lang w:val="en-US"/>
        </w:rPr>
        <w:t>Are these violent warnings of violent judgment?</w:t>
      </w:r>
    </w:p>
    <w:p>
      <w:pPr>
        <w:pStyle w:val="Body"/>
        <w:ind w:left="360"/>
      </w:pPr>
      <w:r>
        <w:rPr>
          <w:b w:val="1"/>
          <w:bCs w:val="1"/>
          <w:rtl w:val="0"/>
          <w:lang w:val="en-US"/>
        </w:rPr>
        <w:t>Mt 5:29-30; 24:51; 25:30; 25:41,46</w:t>
      </w:r>
      <w:r>
        <w:rPr>
          <w:b w:val="1"/>
          <w:b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080" w:bottom="720" w:left="108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bered"/>
  </w:abstractNum>
  <w:abstractNum w:abstractNumId="1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39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ind w:left="753" w:hanging="393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113" w:hanging="393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1473" w:hanging="393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1833" w:hanging="393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2193" w:hanging="393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2553" w:hanging="393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2913" w:hanging="393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3273" w:hanging="393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Numbered">
    <w:name w:val="Numbered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