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b w:val="1"/>
          <w:bCs w:val="1"/>
          <w:sz w:val="16"/>
          <w:szCs w:val="16"/>
        </w:rPr>
      </w:pP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Second chances</w:t>
      </w:r>
      <w:r>
        <w:rPr>
          <w:b w:val="1"/>
          <w:bCs w:val="1"/>
          <w:sz w:val="28"/>
          <w:szCs w:val="28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990481</wp:posOffset>
                </wp:positionH>
                <wp:positionV relativeFrom="page">
                  <wp:posOffset>377864</wp:posOffset>
                </wp:positionV>
                <wp:extent cx="4407138" cy="536536"/>
                <wp:effectExtent l="0" t="0" r="0" b="0"/>
                <wp:wrapNone/>
                <wp:docPr id="1073741825" name="officeArt object" descr="Sun 5pm class — March 16, 2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7138" cy="536536"/>
                        </a:xfrm>
                        <a:prstGeom prst="rect">
                          <a:avLst/>
                        </a:prstGeom>
                        <a:solidFill>
                          <a:srgbClr val="D5D5D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Fonts w:ascii="Arial Black" w:hAnsi="Arial Black"/>
                                <w:sz w:val="36"/>
                                <w:szCs w:val="36"/>
                                <w:rtl w:val="0"/>
                                <w:lang w:val="en-US"/>
                              </w:rPr>
                              <w:t xml:space="preserve">Sun 5pm class </w:t>
                            </w:r>
                            <w:r>
                              <w:rPr>
                                <w:rFonts w:ascii="Arial Black" w:hAnsi="Arial Black" w:hint="default"/>
                                <w:sz w:val="36"/>
                                <w:szCs w:val="36"/>
                                <w:rtl w:val="0"/>
                                <w:lang w:val="en-US"/>
                              </w:rPr>
                              <w:t xml:space="preserve">— </w:t>
                            </w:r>
                            <w:r>
                              <w:rPr>
                                <w:rFonts w:ascii="Arial Black" w:hAnsi="Arial Black"/>
                                <w:sz w:val="36"/>
                                <w:szCs w:val="36"/>
                                <w:rtl w:val="0"/>
                                <w:lang w:val="en-US"/>
                              </w:rPr>
                              <w:t xml:space="preserve">March </w:t>
                            </w:r>
                            <w:r>
                              <w:rPr>
                                <w:rFonts w:ascii="Arial Black" w:hAnsi="Arial Black"/>
                                <w:sz w:val="36"/>
                                <w:szCs w:val="36"/>
                                <w:rtl w:val="0"/>
                                <w:lang w:val="en-US"/>
                              </w:rPr>
                              <w:t>16</w:t>
                            </w:r>
                            <w:r>
                              <w:rPr>
                                <w:rFonts w:ascii="Arial Black" w:hAnsi="Arial Black"/>
                                <w:sz w:val="36"/>
                                <w:szCs w:val="36"/>
                                <w:rtl w:val="0"/>
                              </w:rPr>
                              <w:t>, 2025</w:t>
                            </w:r>
                          </w:p>
                        </w:txbxContent>
                      </wps:txbx>
                      <wps:bodyPr wrap="square" lIns="101600" tIns="101600" rIns="101600" bIns="1016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78.0pt;margin-top:29.8pt;width:347.0pt;height:42.2pt;z-index:251659264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color="#D5D5D5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Fonts w:ascii="Arial Black" w:hAnsi="Arial Black"/>
                          <w:sz w:val="36"/>
                          <w:szCs w:val="36"/>
                          <w:rtl w:val="0"/>
                          <w:lang w:val="en-US"/>
                        </w:rPr>
                        <w:t xml:space="preserve">Sun 5pm class </w:t>
                      </w:r>
                      <w:r>
                        <w:rPr>
                          <w:rFonts w:ascii="Arial Black" w:hAnsi="Arial Black" w:hint="default"/>
                          <w:sz w:val="36"/>
                          <w:szCs w:val="36"/>
                          <w:rtl w:val="0"/>
                          <w:lang w:val="en-US"/>
                        </w:rPr>
                        <w:t xml:space="preserve">— </w:t>
                      </w:r>
                      <w:r>
                        <w:rPr>
                          <w:rFonts w:ascii="Arial Black" w:hAnsi="Arial Black"/>
                          <w:sz w:val="36"/>
                          <w:szCs w:val="36"/>
                          <w:rtl w:val="0"/>
                          <w:lang w:val="en-US"/>
                        </w:rPr>
                        <w:t xml:space="preserve">March </w:t>
                      </w:r>
                      <w:r>
                        <w:rPr>
                          <w:rFonts w:ascii="Arial Black" w:hAnsi="Arial Black"/>
                          <w:sz w:val="36"/>
                          <w:szCs w:val="36"/>
                          <w:rtl w:val="0"/>
                          <w:lang w:val="en-US"/>
                        </w:rPr>
                        <w:t>16</w:t>
                      </w:r>
                      <w:r>
                        <w:rPr>
                          <w:rFonts w:ascii="Arial Black" w:hAnsi="Arial Black"/>
                          <w:sz w:val="36"/>
                          <w:szCs w:val="36"/>
                          <w:rtl w:val="0"/>
                        </w:rPr>
                        <w:t>, 2025</w:t>
                      </w:r>
                    </w:p>
                  </w:txbxContent>
                </v:textbox>
                <w10:wrap type="none" side="bothSides" anchorx="margin" anchory="page"/>
              </v:shape>
            </w:pict>
          </mc:Fallback>
        </mc:AlternateContent>
      </w:r>
    </w:p>
    <w:p>
      <w:pPr>
        <w:pStyle w:val="Body"/>
        <w:spacing w:after="6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The doctines of Purgatory and Reincarnation offer men </w:t>
      </w:r>
      <w:r>
        <w:rPr>
          <w:rFonts w:ascii="Times New Roman" w:hAnsi="Times New Roman" w:hint="default"/>
          <w:rtl w:val="0"/>
          <w:lang w:val="en-US"/>
        </w:rPr>
        <w:t>“</w:t>
      </w:r>
      <w:r>
        <w:rPr>
          <w:rFonts w:ascii="Times New Roman" w:hAnsi="Times New Roman"/>
          <w:rtl w:val="0"/>
          <w:lang w:val="en-US"/>
        </w:rPr>
        <w:t>second chances</w:t>
      </w:r>
      <w:r>
        <w:rPr>
          <w:rFonts w:ascii="Times New Roman" w:hAnsi="Times New Roman" w:hint="default"/>
          <w:rtl w:val="0"/>
          <w:lang w:val="en-US"/>
        </w:rPr>
        <w:t xml:space="preserve">” </w:t>
      </w:r>
      <w:r>
        <w:rPr>
          <w:rFonts w:ascii="Times New Roman" w:hAnsi="Times New Roman"/>
          <w:rtl w:val="0"/>
          <w:lang w:val="en-US"/>
        </w:rPr>
        <w:t xml:space="preserve">to repent if they die in sin without Christ. We looked at three passages in the Eschalogy class that do not </w:t>
      </w:r>
      <w:r>
        <w:rPr>
          <w:rFonts w:ascii="Times New Roman" w:hAnsi="Times New Roman" w:hint="default"/>
          <w:rtl w:val="0"/>
          <w:lang w:val="en-US"/>
        </w:rPr>
        <w:t>“</w:t>
      </w:r>
      <w:r>
        <w:rPr>
          <w:rFonts w:ascii="Times New Roman" w:hAnsi="Times New Roman"/>
          <w:rtl w:val="0"/>
          <w:lang w:val="en-US"/>
        </w:rPr>
        <w:t>agree</w:t>
      </w:r>
      <w:r>
        <w:rPr>
          <w:rFonts w:ascii="Times New Roman" w:hAnsi="Times New Roman" w:hint="default"/>
          <w:rtl w:val="0"/>
          <w:lang w:val="en-US"/>
        </w:rPr>
        <w:t xml:space="preserve">” </w:t>
      </w:r>
      <w:r>
        <w:rPr>
          <w:rFonts w:ascii="Times New Roman" w:hAnsi="Times New Roman"/>
          <w:rtl w:val="0"/>
          <w:lang w:val="en-US"/>
        </w:rPr>
        <w:t>(a Divine test</w:t>
      </w:r>
      <w:r>
        <w:rPr>
          <w:rFonts w:ascii="Times New Roman" w:hAnsi="Times New Roman" w:hint="default"/>
          <w:rtl w:val="0"/>
          <w:lang w:val="en-US"/>
        </w:rPr>
        <w:t>—</w:t>
      </w:r>
      <w:r>
        <w:rPr>
          <w:rFonts w:ascii="Times New Roman" w:hAnsi="Times New Roman"/>
          <w:b w:val="1"/>
          <w:bCs w:val="1"/>
          <w:rtl w:val="0"/>
          <w:lang w:val="en-US"/>
        </w:rPr>
        <w:t>Ac 15:15</w:t>
      </w:r>
      <w:r>
        <w:rPr>
          <w:rFonts w:ascii="Times New Roman" w:hAnsi="Times New Roman"/>
          <w:rtl w:val="0"/>
          <w:lang w:val="en-US"/>
        </w:rPr>
        <w:t xml:space="preserve">) with this concept of </w:t>
      </w:r>
      <w:r>
        <w:rPr>
          <w:rFonts w:ascii="Times New Roman" w:hAnsi="Times New Roman" w:hint="default"/>
          <w:rtl w:val="0"/>
          <w:lang w:val="en-US"/>
        </w:rPr>
        <w:t>“</w:t>
      </w:r>
      <w:r>
        <w:rPr>
          <w:rFonts w:ascii="Times New Roman" w:hAnsi="Times New Roman"/>
          <w:rtl w:val="0"/>
          <w:lang w:val="en-US"/>
        </w:rPr>
        <w:t>second chances.</w:t>
      </w:r>
      <w:r>
        <w:rPr>
          <w:rFonts w:ascii="Times New Roman" w:hAnsi="Times New Roman" w:hint="default"/>
          <w:rtl w:val="0"/>
          <w:lang w:val="en-US"/>
        </w:rPr>
        <w:t xml:space="preserve">” </w:t>
      </w:r>
      <w:r>
        <w:rPr>
          <w:rFonts w:ascii="Times New Roman" w:hAnsi="Times New Roman"/>
          <w:rtl w:val="0"/>
          <w:lang w:val="en-US"/>
        </w:rPr>
        <w:t>If you have your notes from class, you can refresh you mind.</w:t>
      </w:r>
    </w:p>
    <w:p>
      <w:pPr>
        <w:pStyle w:val="Body"/>
        <w:spacing w:after="120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Arial" w:hAnsi="Arial"/>
          <w:b w:val="1"/>
          <w:bCs w:val="1"/>
          <w:rtl w:val="0"/>
        </w:rPr>
        <w:t>2</w:t>
      </w:r>
      <w:r>
        <w:rPr>
          <w:rFonts w:ascii="Arial" w:hAnsi="Arial"/>
          <w:b w:val="1"/>
          <w:bCs w:val="1"/>
          <w:sz w:val="24"/>
          <w:szCs w:val="24"/>
          <w:rtl w:val="0"/>
        </w:rPr>
        <w:t>Co 5:10</w:t>
      </w:r>
    </w:p>
    <w:p>
      <w:pPr>
        <w:pStyle w:val="Body"/>
        <w:spacing w:after="120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Arial" w:hAnsi="Arial"/>
          <w:b w:val="1"/>
          <w:bCs w:val="1"/>
          <w:sz w:val="24"/>
          <w:szCs w:val="24"/>
          <w:rtl w:val="0"/>
        </w:rPr>
        <w:t>Heb 9:27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Arial" w:hAnsi="Arial"/>
          <w:b w:val="1"/>
          <w:bCs w:val="1"/>
          <w:sz w:val="24"/>
          <w:szCs w:val="24"/>
          <w:rtl w:val="0"/>
        </w:rPr>
        <w:t>2Pt 2:4,9</w:t>
      </w:r>
    </w:p>
    <w:p>
      <w:pPr>
        <w:pStyle w:val="Body"/>
        <w:rPr>
          <w:b w:val="1"/>
          <w:bCs w:val="1"/>
          <w:sz w:val="24"/>
          <w:szCs w:val="24"/>
        </w:rPr>
      </w:pPr>
    </w:p>
    <w:p>
      <w:pPr>
        <w:pStyle w:val="Body"/>
        <w:bidi w:val="0"/>
      </w:pPr>
      <w:r>
        <w:rPr>
          <w:rtl w:val="0"/>
          <w:lang w:val="en-US"/>
        </w:rPr>
        <w:t xml:space="preserve">In this study we will discuss some of the </w:t>
      </w:r>
      <w:r>
        <w:rPr>
          <w:rtl w:val="0"/>
          <w:lang w:val="fr-FR"/>
        </w:rPr>
        <w:t>Scriptures</w:t>
      </w:r>
      <w:r>
        <w:rPr>
          <w:rtl w:val="0"/>
          <w:lang w:val="en-US"/>
        </w:rPr>
        <w:t xml:space="preserve"> used in an attempt to support Purgatory and Reincarnation. </w:t>
      </w:r>
    </w:p>
    <w:p>
      <w:pPr>
        <w:pStyle w:val="Body"/>
        <w:rPr>
          <w:b w:val="1"/>
          <w:bCs w:val="1"/>
          <w:sz w:val="24"/>
          <w:szCs w:val="24"/>
        </w:rPr>
      </w:pPr>
    </w:p>
    <w:p>
      <w:pPr>
        <w:pStyle w:val="Body"/>
        <w:spacing w:after="60"/>
        <w:rPr>
          <w:b w:val="1"/>
          <w:bCs w:val="1"/>
          <w:sz w:val="24"/>
          <w:szCs w:val="24"/>
        </w:rPr>
      </w:pPr>
      <w:r>
        <w:rPr>
          <w:b w:val="1"/>
          <w:bCs w:val="1"/>
          <w:sz w:val="28"/>
          <w:szCs w:val="28"/>
          <w:rtl w:val="0"/>
          <w:lang w:val="en-US"/>
        </w:rPr>
        <w:t>Purgatory</w:t>
      </w:r>
    </w:p>
    <w:p>
      <w:pPr>
        <w:pStyle w:val="Body"/>
        <w:spacing w:after="60"/>
        <w:rPr>
          <w:b w:val="0"/>
          <w:bCs w:val="0"/>
          <w:sz w:val="24"/>
          <w:szCs w:val="24"/>
        </w:rPr>
      </w:pPr>
      <w:r>
        <w:rPr>
          <w:b w:val="1"/>
          <w:bCs w:val="1"/>
          <w:sz w:val="24"/>
          <w:szCs w:val="24"/>
          <w:u w:val="single"/>
          <w:rtl w:val="0"/>
          <w:lang w:val="en-US"/>
        </w:rPr>
        <w:t>1Pt 3:19</w:t>
      </w:r>
      <w:r>
        <w:rPr>
          <w:b w:val="0"/>
          <w:bCs w:val="0"/>
          <w:sz w:val="24"/>
          <w:szCs w:val="24"/>
          <w:rtl w:val="0"/>
          <w:lang w:val="en-US"/>
        </w:rPr>
        <w:t xml:space="preserve"> </w:t>
      </w:r>
    </w:p>
    <w:p>
      <w:pPr>
        <w:pStyle w:val="Body"/>
        <w:spacing w:after="120"/>
        <w:rPr>
          <w:b w:val="1"/>
          <w:bCs w:val="1"/>
        </w:rPr>
      </w:pPr>
      <w:r>
        <w:rPr>
          <w:rFonts w:ascii="Times New Roman" w:hAnsi="Times New Roman" w:hint="default"/>
          <w:b w:val="0"/>
          <w:bCs w:val="0"/>
          <w:rtl w:val="1"/>
          <w:lang w:val="ar-SA" w:bidi="ar-SA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>this one verse directly teaches the existence of purgatory</w:t>
      </w:r>
      <w:r>
        <w:rPr>
          <w:rFonts w:ascii="Times New Roman" w:hAnsi="Times New Roman" w:hint="default"/>
          <w:b w:val="0"/>
          <w:bCs w:val="0"/>
          <w:rtl w:val="0"/>
        </w:rPr>
        <w:t>”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en-US"/>
        </w:rPr>
        <w:t>[</w:t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sz w:val="20"/>
          <w:szCs w:val="20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sz w:val="20"/>
          <w:szCs w:val="20"/>
        </w:rPr>
        <w:instrText xml:space="preserve"> HYPERLINK "http://www.catholic.com/library/Purgatory.asp"</w:instrText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sz w:val="20"/>
          <w:szCs w:val="20"/>
        </w:rPr>
        <w:fldChar w:fldCharType="separate" w:fldLock="0"/>
      </w:r>
      <w:r>
        <w:rPr>
          <w:rStyle w:val="Hyperlink.0"/>
          <w:rFonts w:ascii="Times New Roman" w:hAnsi="Times New Roman"/>
          <w:b w:val="0"/>
          <w:bCs w:val="0"/>
          <w:sz w:val="20"/>
          <w:szCs w:val="20"/>
          <w:rtl w:val="0"/>
          <w:lang w:val="en-US"/>
        </w:rPr>
        <w:t>http://www.catholic.com/library/Purgatory.asp</w:t>
      </w:r>
      <w:r>
        <w:rPr>
          <w:b w:val="1"/>
          <w:bCs w:val="1"/>
        </w:rPr>
        <w:fldChar w:fldCharType="end" w:fldLock="0"/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en-US"/>
        </w:rPr>
        <w:t>]</w:t>
      </w:r>
    </w:p>
    <w:p>
      <w:pPr>
        <w:pStyle w:val="Body"/>
        <w:numPr>
          <w:ilvl w:val="0"/>
          <w:numId w:val="2"/>
        </w:numPr>
        <w:spacing w:after="120"/>
        <w:rPr>
          <w:lang w:val="en-US"/>
        </w:rPr>
      </w:pPr>
      <w:r>
        <w:rPr>
          <w:rtl w:val="0"/>
          <w:lang w:val="en-US"/>
        </w:rPr>
        <w:t xml:space="preserve">Who are the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spirits</w:t>
      </w:r>
      <w:r>
        <w:rPr>
          <w:rtl w:val="0"/>
          <w:lang w:val="en-US"/>
        </w:rPr>
        <w:t>”</w:t>
      </w:r>
      <w:r>
        <w:rPr>
          <w:rtl w:val="0"/>
          <w:lang w:val="en-US"/>
        </w:rPr>
        <w:t xml:space="preserve">? </w:t>
      </w:r>
      <w:r>
        <w:rPr>
          <w:b w:val="1"/>
          <w:bCs w:val="1"/>
          <w:rtl w:val="0"/>
          <w:lang w:val="en-US"/>
        </w:rPr>
        <w:t>v20</w:t>
      </w:r>
    </w:p>
    <w:p>
      <w:pPr>
        <w:pStyle w:val="Body"/>
        <w:numPr>
          <w:ilvl w:val="0"/>
          <w:numId w:val="2"/>
        </w:numPr>
        <w:spacing w:after="120"/>
        <w:rPr>
          <w:lang w:val="en-US"/>
        </w:rPr>
      </w:pPr>
      <w:r>
        <w:rPr>
          <w:rtl w:val="0"/>
          <w:lang w:val="en-US"/>
        </w:rPr>
        <w:t xml:space="preserve">Why call them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spirits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Were they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spirits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>when preched to or now when Peter writes about them?</w:t>
      </w:r>
    </w:p>
    <w:p>
      <w:pPr>
        <w:pStyle w:val="Body"/>
        <w:numPr>
          <w:ilvl w:val="0"/>
          <w:numId w:val="2"/>
        </w:numPr>
        <w:spacing w:after="120"/>
        <w:rPr>
          <w:lang w:val="en-US"/>
        </w:rPr>
      </w:pPr>
      <w:r>
        <w:rPr>
          <w:rtl w:val="0"/>
          <w:lang w:val="en-US"/>
        </w:rPr>
        <w:t>Where was the preaching done? (</w:t>
      </w:r>
      <w:r>
        <w:rPr>
          <w:b w:val="1"/>
          <w:bCs w:val="1"/>
          <w:rtl w:val="0"/>
          <w:lang w:val="en-US"/>
        </w:rPr>
        <w:t>v20</w:t>
      </w:r>
      <w:r>
        <w:rPr>
          <w:rtl w:val="0"/>
          <w:lang w:val="en-US"/>
        </w:rPr>
        <w:t xml:space="preserve">; See also </w:t>
      </w:r>
      <w:r>
        <w:rPr>
          <w:b w:val="1"/>
          <w:bCs w:val="1"/>
          <w:rtl w:val="0"/>
          <w:lang w:val="en-US"/>
        </w:rPr>
        <w:t>2Pt 2:5</w:t>
      </w:r>
      <w:r>
        <w:rPr>
          <w:rtl w:val="0"/>
          <w:lang w:val="en-US"/>
        </w:rPr>
        <w:t>)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en-US"/>
        </w:rPr>
        <w:t>Law of harmony - see the texts we looked at in class.</w:t>
      </w:r>
    </w:p>
    <w:p>
      <w:pPr>
        <w:pStyle w:val="Body"/>
        <w:bidi w:val="0"/>
      </w:pPr>
    </w:p>
    <w:p>
      <w:pPr>
        <w:pStyle w:val="Body"/>
        <w:spacing w:after="60"/>
        <w:rPr>
          <w:b w:val="0"/>
          <w:bCs w:val="0"/>
          <w:sz w:val="24"/>
          <w:szCs w:val="24"/>
        </w:rPr>
      </w:pPr>
      <w:r>
        <w:rPr>
          <w:b w:val="1"/>
          <w:bCs w:val="1"/>
          <w:sz w:val="24"/>
          <w:szCs w:val="24"/>
          <w:u w:val="single"/>
          <w:rtl w:val="0"/>
          <w:lang w:val="en-US"/>
        </w:rPr>
        <w:t>Mt 12:32</w:t>
      </w:r>
      <w:r>
        <w:rPr>
          <w:b w:val="0"/>
          <w:bCs w:val="0"/>
          <w:sz w:val="24"/>
          <w:szCs w:val="24"/>
          <w:rtl w:val="0"/>
          <w:lang w:val="en-US"/>
        </w:rPr>
        <w:t xml:space="preserve"> </w:t>
      </w:r>
    </w:p>
    <w:p>
      <w:pPr>
        <w:pStyle w:val="Body"/>
        <w:spacing w:after="120"/>
        <w:rPr>
          <w:rFonts w:ascii="Times New Roman" w:cs="Times New Roman" w:hAnsi="Times New Roman" w:eastAsia="Times New Roman"/>
          <w:b w:val="0"/>
          <w:bCs w:val="0"/>
          <w:sz w:val="20"/>
          <w:szCs w:val="20"/>
        </w:rPr>
      </w:pP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these words prove that in the next life </w:t>
      </w:r>
      <w:r>
        <w:rPr>
          <w:rFonts w:ascii="Times New Roman" w:hAnsi="Times New Roman" w:hint="default"/>
          <w:b w:val="0"/>
          <w:bCs w:val="0"/>
          <w:rtl w:val="1"/>
        </w:rPr>
        <w:t>‘</w:t>
      </w:r>
      <w:r>
        <w:rPr>
          <w:rFonts w:ascii="Times New Roman" w:hAnsi="Times New Roman"/>
          <w:b w:val="0"/>
          <w:bCs w:val="0"/>
          <w:rtl w:val="0"/>
          <w:lang w:val="en-US"/>
        </w:rPr>
        <w:t>some sins will be forgiven and purged away by a certain purifying fire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en-US"/>
        </w:rPr>
        <w:t>[</w:t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sz w:val="20"/>
          <w:szCs w:val="20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sz w:val="20"/>
          <w:szCs w:val="20"/>
        </w:rPr>
        <w:instrText xml:space="preserve"> HYPERLINK "http://www.newadvent.org/cathen/12575a.htm"</w:instrText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sz w:val="20"/>
          <w:szCs w:val="20"/>
        </w:rPr>
        <w:fldChar w:fldCharType="separate" w:fldLock="0"/>
      </w:r>
      <w:r>
        <w:rPr>
          <w:rStyle w:val="Hyperlink.0"/>
          <w:rFonts w:ascii="Times New Roman" w:hAnsi="Times New Roman"/>
          <w:b w:val="0"/>
          <w:bCs w:val="0"/>
          <w:sz w:val="20"/>
          <w:szCs w:val="20"/>
          <w:rtl w:val="0"/>
          <w:lang w:val="en-US"/>
        </w:rPr>
        <w:t>http://www.newadvent.org/cathen/12575a.htm</w:t>
      </w:r>
      <w:r>
        <w:rPr>
          <w:b w:val="1"/>
          <w:bCs w:val="1"/>
        </w:rPr>
        <w:fldChar w:fldCharType="end" w:fldLock="0"/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en-US"/>
        </w:rPr>
        <w:t>]</w:t>
      </w:r>
    </w:p>
    <w:p>
      <w:pPr>
        <w:pStyle w:val="Body"/>
        <w:numPr>
          <w:ilvl w:val="0"/>
          <w:numId w:val="2"/>
        </w:numPr>
        <w:spacing w:after="120"/>
        <w:rPr>
          <w:lang w:val="en-US"/>
        </w:rPr>
      </w:pPr>
      <w:r>
        <w:rPr>
          <w:rtl w:val="0"/>
          <w:lang w:val="en-US"/>
        </w:rPr>
        <w:t xml:space="preserve">What does this </w:t>
      </w:r>
      <w:r>
        <w:rPr>
          <w:i w:val="1"/>
          <w:iCs w:val="1"/>
          <w:rtl w:val="0"/>
          <w:lang w:val="en-US"/>
        </w:rPr>
        <w:t>a</w:t>
      </w:r>
      <w:r>
        <w:rPr>
          <w:i w:val="1"/>
          <w:iCs w:val="1"/>
          <w:rtl w:val="0"/>
          <w:lang w:val="pt-PT"/>
        </w:rPr>
        <w:t xml:space="preserve">ssume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the age to come</w:t>
      </w:r>
      <w:r>
        <w:rPr>
          <w:rtl w:val="0"/>
        </w:rPr>
        <w:t xml:space="preserve">” </w:t>
      </w:r>
      <w:r>
        <w:rPr>
          <w:rtl w:val="0"/>
          <w:lang w:val="en-US"/>
        </w:rPr>
        <w:t>means</w:t>
      </w:r>
      <w:r>
        <w:rPr>
          <w:rtl w:val="0"/>
          <w:lang w:val="en-US"/>
        </w:rPr>
        <w:t xml:space="preserve">, and, what is </w:t>
      </w:r>
      <w:r>
        <w:rPr>
          <w:i w:val="1"/>
          <w:iCs w:val="1"/>
          <w:rtl w:val="0"/>
          <w:lang w:val="en-US"/>
        </w:rPr>
        <w:t>assumed</w:t>
      </w:r>
      <w:r>
        <w:rPr>
          <w:rtl w:val="0"/>
          <w:lang w:val="en-US"/>
        </w:rPr>
        <w:t xml:space="preserve"> this says about sin in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the age to come</w:t>
      </w:r>
      <w:r>
        <w:rPr>
          <w:rtl w:val="0"/>
          <w:lang w:val="en-US"/>
        </w:rPr>
        <w:t>”</w:t>
      </w:r>
      <w:r>
        <w:rPr>
          <w:rtl w:val="0"/>
          <w:lang w:val="zh-TW" w:eastAsia="zh-TW"/>
        </w:rPr>
        <w:t>?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en-US"/>
        </w:rPr>
        <w:t xml:space="preserve">What is the point of contrast in </w:t>
      </w:r>
      <w:r>
        <w:rPr>
          <w:b w:val="1"/>
          <w:bCs w:val="1"/>
          <w:rtl w:val="0"/>
          <w:lang w:val="en-US"/>
        </w:rPr>
        <w:t>Mk 3:28-20</w:t>
      </w:r>
      <w:r>
        <w:rPr>
          <w:rtl w:val="0"/>
          <w:lang w:val="en-US"/>
        </w:rPr>
        <w:t xml:space="preserve"> and </w:t>
      </w:r>
      <w:r>
        <w:rPr>
          <w:b w:val="1"/>
          <w:bCs w:val="1"/>
          <w:rtl w:val="0"/>
          <w:lang w:val="en-US"/>
        </w:rPr>
        <w:t>Lk 12:10</w:t>
      </w:r>
      <w:r>
        <w:rPr>
          <w:rtl w:val="0"/>
          <w:lang w:val="en-US"/>
        </w:rPr>
        <w:t>?</w:t>
      </w:r>
    </w:p>
    <w:p>
      <w:pPr>
        <w:pStyle w:val="Body"/>
        <w:rPr>
          <w:sz w:val="24"/>
          <w:szCs w:val="24"/>
        </w:rPr>
      </w:pPr>
    </w:p>
    <w:p>
      <w:pPr>
        <w:pStyle w:val="Body"/>
        <w:spacing w:after="60"/>
        <w:rPr>
          <w:b w:val="0"/>
          <w:bCs w:val="0"/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  <w:lang w:val="en-US"/>
        </w:rPr>
        <w:t>1Co 3:15</w:t>
      </w:r>
      <w:r>
        <w:rPr>
          <w:b w:val="0"/>
          <w:bCs w:val="0"/>
          <w:sz w:val="24"/>
          <w:szCs w:val="24"/>
          <w:u w:val="single"/>
          <w:rtl w:val="0"/>
          <w:lang w:val="en-US"/>
        </w:rPr>
        <w:t xml:space="preserve"> </w:t>
      </w:r>
    </w:p>
    <w:p>
      <w:pPr>
        <w:pStyle w:val="Body"/>
        <w:spacing w:after="120"/>
        <w:rPr>
          <w:rFonts w:ascii="Times New Roman" w:cs="Times New Roman" w:hAnsi="Times New Roman" w:eastAsia="Times New Roman"/>
          <w:b w:val="0"/>
          <w:bCs w:val="0"/>
          <w:sz w:val="20"/>
          <w:szCs w:val="20"/>
        </w:rPr>
      </w:pP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>The Catholic doctrine of purgatory alone explains this passage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en-US"/>
        </w:rPr>
        <w:t>[</w:t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sz w:val="20"/>
          <w:szCs w:val="20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sz w:val="20"/>
          <w:szCs w:val="20"/>
        </w:rPr>
        <w:instrText xml:space="preserve"> HYPERLINK "http://www.catholic.com/library/Purgatory.asp."</w:instrText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sz w:val="20"/>
          <w:szCs w:val="20"/>
        </w:rPr>
        <w:fldChar w:fldCharType="separate" w:fldLock="0"/>
      </w:r>
      <w:r>
        <w:rPr>
          <w:rStyle w:val="Hyperlink.0"/>
          <w:rFonts w:ascii="Times New Roman" w:hAnsi="Times New Roman"/>
          <w:b w:val="0"/>
          <w:bCs w:val="0"/>
          <w:sz w:val="20"/>
          <w:szCs w:val="20"/>
          <w:rtl w:val="0"/>
          <w:lang w:val="en-US"/>
        </w:rPr>
        <w:t>http://www.catholic.com/library/Purgatory.asp.</w:t>
      </w:r>
      <w:r>
        <w:rPr>
          <w:b w:val="1"/>
          <w:bCs w:val="1"/>
        </w:rPr>
        <w:fldChar w:fldCharType="end" w:fldLock="0"/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en-US"/>
        </w:rPr>
        <w:t xml:space="preserve">] 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en-US"/>
        </w:rPr>
        <w:t xml:space="preserve">…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>evidence for the existence of an intermediate state in which the dross of lighter transgressions will be burnt away, and the soul thus purified will be saved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”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en-US"/>
        </w:rPr>
        <w:t xml:space="preserve"> [</w:t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sz w:val="20"/>
          <w:szCs w:val="20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sz w:val="20"/>
          <w:szCs w:val="20"/>
        </w:rPr>
        <w:instrText xml:space="preserve"> HYPERLINK "http://www.newadvent.org/cathen/12575a.htm"</w:instrText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sz w:val="20"/>
          <w:szCs w:val="20"/>
        </w:rPr>
        <w:fldChar w:fldCharType="separate" w:fldLock="0"/>
      </w:r>
      <w:r>
        <w:rPr>
          <w:rStyle w:val="Hyperlink.0"/>
          <w:rFonts w:ascii="Times New Roman" w:hAnsi="Times New Roman"/>
          <w:b w:val="0"/>
          <w:bCs w:val="0"/>
          <w:sz w:val="20"/>
          <w:szCs w:val="20"/>
          <w:rtl w:val="0"/>
          <w:lang w:val="en-US"/>
        </w:rPr>
        <w:t>http://www.newadvent.org/cathen/12575a.htm</w:t>
      </w:r>
      <w:r>
        <w:rPr>
          <w:b w:val="1"/>
          <w:bCs w:val="1"/>
        </w:rPr>
        <w:fldChar w:fldCharType="end" w:fldLock="0"/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en-US"/>
        </w:rPr>
        <w:t xml:space="preserve">]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>the day of the Lord which is a man</w:t>
      </w:r>
      <w:r>
        <w:rPr>
          <w:rFonts w:ascii="Times New Roman" w:hAnsi="Times New Roman" w:hint="default"/>
          <w:b w:val="0"/>
          <w:bCs w:val="0"/>
          <w:rtl w:val="1"/>
        </w:rPr>
        <w:t>’</w:t>
      </w:r>
      <w:r>
        <w:rPr>
          <w:rFonts w:ascii="Times New Roman" w:hAnsi="Times New Roman"/>
          <w:b w:val="0"/>
          <w:bCs w:val="0"/>
          <w:rtl w:val="0"/>
          <w:lang w:val="en-US"/>
        </w:rPr>
        <w:t>s death shall be revealed in the fire of Purgatory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”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en-US"/>
        </w:rPr>
        <w:t xml:space="preserve"> [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en-US"/>
        </w:rPr>
        <w:t xml:space="preserve">Pope, </w:t>
      </w:r>
      <w:r>
        <w:rPr>
          <w:rFonts w:ascii="Times New Roman" w:hAnsi="Times New Roman"/>
          <w:b w:val="0"/>
          <w:bCs w:val="0"/>
          <w:i w:val="1"/>
          <w:iCs w:val="1"/>
          <w:sz w:val="20"/>
          <w:szCs w:val="20"/>
          <w:rtl w:val="0"/>
          <w:lang w:val="en-US"/>
        </w:rPr>
        <w:t>The Laymans NT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en-US"/>
        </w:rPr>
        <w:t>—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en-US"/>
        </w:rPr>
        <w:t>has both Nihil Obstat and Imprimatur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en-US"/>
        </w:rPr>
        <w:t>]</w:t>
      </w:r>
    </w:p>
    <w:p>
      <w:pPr>
        <w:pStyle w:val="Body"/>
        <w:numPr>
          <w:ilvl w:val="0"/>
          <w:numId w:val="2"/>
        </w:numPr>
        <w:spacing w:after="120"/>
        <w:rPr>
          <w:b w:val="1"/>
          <w:bCs w:val="1"/>
          <w:lang w:val="en-US"/>
        </w:rPr>
      </w:pPr>
      <w:r>
        <w:rPr>
          <w:b w:val="0"/>
          <w:bCs w:val="0"/>
          <w:rtl w:val="0"/>
          <w:lang w:val="en-US"/>
        </w:rPr>
        <w:t xml:space="preserve">What is </w:t>
      </w:r>
      <w:r>
        <w:rPr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any man</w:t>
      </w:r>
      <w:r>
        <w:rPr>
          <w:b w:val="0"/>
          <w:bCs w:val="0"/>
          <w:rtl w:val="0"/>
          <w:lang w:val="en-US"/>
        </w:rPr>
        <w:t>’</w:t>
      </w:r>
      <w:r>
        <w:rPr>
          <w:b w:val="0"/>
          <w:bCs w:val="0"/>
          <w:rtl w:val="0"/>
          <w:lang w:val="en-US"/>
        </w:rPr>
        <w:t>s work</w:t>
      </w:r>
      <w:r>
        <w:rPr>
          <w:b w:val="0"/>
          <w:bCs w:val="0"/>
          <w:rtl w:val="0"/>
          <w:lang w:val="en-US"/>
        </w:rPr>
        <w:t xml:space="preserve">” </w:t>
      </w:r>
      <w:r>
        <w:rPr>
          <w:b w:val="0"/>
          <w:bCs w:val="0"/>
          <w:rtl w:val="0"/>
          <w:lang w:val="en-US"/>
        </w:rPr>
        <w:t>[</w:t>
      </w:r>
      <w:r>
        <w:rPr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anyone</w:t>
      </w:r>
      <w:r>
        <w:rPr>
          <w:b w:val="0"/>
          <w:bCs w:val="0"/>
          <w:rtl w:val="0"/>
          <w:lang w:val="en-US"/>
        </w:rPr>
        <w:t>’</w:t>
      </w:r>
      <w:r>
        <w:rPr>
          <w:b w:val="0"/>
          <w:bCs w:val="0"/>
          <w:rtl w:val="0"/>
          <w:lang w:val="en-US"/>
        </w:rPr>
        <w:t>s work</w:t>
      </w:r>
      <w:r>
        <w:rPr>
          <w:b w:val="0"/>
          <w:bCs w:val="0"/>
          <w:rtl w:val="0"/>
          <w:lang w:val="en-US"/>
        </w:rPr>
        <w:t xml:space="preserve">” </w:t>
      </w:r>
      <w:r>
        <w:rPr>
          <w:b w:val="0"/>
          <w:bCs w:val="0"/>
          <w:rtl w:val="0"/>
          <w:lang w:val="en-US"/>
        </w:rPr>
        <w:t xml:space="preserve">NAS20, ESV] (see the context, </w:t>
      </w:r>
      <w:r>
        <w:rPr>
          <w:b w:val="1"/>
          <w:bCs w:val="1"/>
          <w:rtl w:val="0"/>
          <w:lang w:val="en-US"/>
        </w:rPr>
        <w:t>vv4-17</w:t>
      </w:r>
      <w:r>
        <w:rPr>
          <w:b w:val="0"/>
          <w:bCs w:val="0"/>
          <w:rtl w:val="0"/>
          <w:lang w:val="en-US"/>
        </w:rPr>
        <w:t>)?</w:t>
      </w:r>
    </w:p>
    <w:p>
      <w:pPr>
        <w:pStyle w:val="Body"/>
        <w:numPr>
          <w:ilvl w:val="0"/>
          <w:numId w:val="2"/>
        </w:numPr>
        <w:spacing w:after="120"/>
        <w:rPr>
          <w:b w:val="1"/>
          <w:bCs w:val="1"/>
          <w:lang w:val="en-US"/>
        </w:rPr>
      </w:pPr>
      <w:r>
        <w:rPr>
          <w:b w:val="0"/>
          <w:bCs w:val="0"/>
          <w:rtl w:val="0"/>
          <w:lang w:val="en-US"/>
        </w:rPr>
        <w:t xml:space="preserve">What is </w:t>
      </w:r>
      <w:r>
        <w:rPr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the day</w:t>
      </w:r>
      <w:r>
        <w:rPr>
          <w:b w:val="0"/>
          <w:bCs w:val="0"/>
          <w:rtl w:val="0"/>
          <w:lang w:val="en-US"/>
        </w:rPr>
        <w:t xml:space="preserve">” </w:t>
      </w:r>
      <w:r>
        <w:rPr>
          <w:b w:val="0"/>
          <w:bCs w:val="0"/>
          <w:rtl w:val="0"/>
          <w:lang w:val="en-US"/>
        </w:rPr>
        <w:t xml:space="preserve">of </w:t>
      </w:r>
      <w:r>
        <w:rPr>
          <w:b w:val="1"/>
          <w:bCs w:val="1"/>
          <w:rtl w:val="0"/>
          <w:lang w:val="en-US"/>
        </w:rPr>
        <w:t>v13</w:t>
      </w:r>
      <w:r>
        <w:rPr>
          <w:b w:val="0"/>
          <w:bCs w:val="0"/>
          <w:rtl w:val="0"/>
          <w:lang w:val="en-US"/>
        </w:rPr>
        <w:t xml:space="preserve">? (Note: the </w:t>
      </w:r>
      <w:r>
        <w:rPr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fire</w:t>
      </w:r>
      <w:r>
        <w:rPr>
          <w:b w:val="0"/>
          <w:bCs w:val="0"/>
          <w:rtl w:val="0"/>
          <w:lang w:val="en-US"/>
        </w:rPr>
        <w:t xml:space="preserve">” </w:t>
      </w:r>
      <w:r>
        <w:rPr>
          <w:b w:val="0"/>
          <w:bCs w:val="0"/>
          <w:rtl w:val="0"/>
          <w:lang w:val="en-US"/>
        </w:rPr>
        <w:t xml:space="preserve">tests </w:t>
      </w:r>
      <w:r>
        <w:rPr>
          <w:b w:val="0"/>
          <w:bCs w:val="0"/>
          <w:i w:val="1"/>
          <w:iCs w:val="1"/>
          <w:rtl w:val="0"/>
          <w:lang w:val="en-US"/>
        </w:rPr>
        <w:t xml:space="preserve">both </w:t>
      </w:r>
      <w:r>
        <w:rPr>
          <w:b w:val="0"/>
          <w:bCs w:val="0"/>
          <w:rtl w:val="0"/>
          <w:lang w:val="en-US"/>
        </w:rPr>
        <w:t>kinds of building materials in the two groups mentioned.)</w:t>
      </w:r>
    </w:p>
    <w:p>
      <w:pPr>
        <w:pStyle w:val="Body"/>
        <w:numPr>
          <w:ilvl w:val="0"/>
          <w:numId w:val="2"/>
        </w:numPr>
        <w:rPr>
          <w:b w:val="1"/>
          <w:bCs w:val="1"/>
          <w:lang w:val="en-US"/>
        </w:rPr>
      </w:pPr>
      <w:r>
        <w:rPr>
          <w:b w:val="0"/>
          <w:bCs w:val="0"/>
          <w:rtl w:val="0"/>
          <w:lang w:val="en-US"/>
        </w:rPr>
        <w:t xml:space="preserve">Compare the analogy in </w:t>
      </w:r>
      <w:r>
        <w:rPr>
          <w:b w:val="1"/>
          <w:bCs w:val="1"/>
          <w:rtl w:val="0"/>
          <w:lang w:val="en-US"/>
        </w:rPr>
        <w:t>Eph 2:19-22</w:t>
      </w:r>
      <w:r>
        <w:rPr>
          <w:b w:val="0"/>
          <w:bCs w:val="0"/>
          <w:rtl w:val="0"/>
          <w:lang w:val="en-US"/>
        </w:rPr>
        <w:t xml:space="preserve"> by the same writer.</w:t>
      </w:r>
    </w:p>
    <w:p>
      <w:pPr>
        <w:pStyle w:val="Body"/>
        <w:rPr>
          <w:b w:val="1"/>
          <w:bCs w:val="1"/>
        </w:rPr>
      </w:pPr>
    </w:p>
    <w:p>
      <w:pPr>
        <w:pStyle w:val="Body"/>
        <w:spacing w:after="60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Reincarnation</w:t>
      </w:r>
    </w:p>
    <w:p>
      <w:pPr>
        <w:pStyle w:val="Body"/>
        <w:spacing w:after="18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Define </w:t>
      </w:r>
      <w:r>
        <w:rPr>
          <w:rFonts w:ascii="Times New Roman" w:hAnsi="Times New Roman" w:hint="default"/>
          <w:rtl w:val="0"/>
          <w:lang w:val="en-US"/>
        </w:rPr>
        <w:t>“</w:t>
      </w:r>
      <w:r>
        <w:rPr>
          <w:rFonts w:ascii="Times New Roman" w:hAnsi="Times New Roman"/>
          <w:rtl w:val="0"/>
          <w:lang w:val="en-US"/>
        </w:rPr>
        <w:t>reincarnation</w:t>
      </w:r>
      <w:r>
        <w:rPr>
          <w:rFonts w:ascii="Times New Roman" w:hAnsi="Times New Roman" w:hint="default"/>
          <w:rtl w:val="0"/>
          <w:lang w:val="en-US"/>
        </w:rPr>
        <w:t>”</w:t>
      </w:r>
    </w:p>
    <w:p>
      <w:pPr>
        <w:pStyle w:val="Body"/>
        <w:rPr>
          <w:b w:val="1"/>
          <w:bCs w:val="1"/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  <w:lang w:val="en-US"/>
        </w:rPr>
        <w:t xml:space="preserve">Mt 11:14 </w:t>
      </w:r>
    </w:p>
    <w:p>
      <w:pPr>
        <w:pStyle w:val="Body"/>
        <w:bidi w:val="0"/>
        <w:ind w:left="360"/>
      </w:pPr>
      <w:r>
        <w:rPr>
          <w:rtl w:val="0"/>
          <w:lang w:val="en-US"/>
        </w:rPr>
        <w:t>What shows this was a reincarnation into a different body with a new identity?</w:t>
      </w: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Body"/>
        <w:spacing w:after="60"/>
        <w:rPr>
          <w:b w:val="1"/>
          <w:bCs w:val="1"/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  <w:lang w:val="en-US"/>
        </w:rPr>
        <w:t>Jn 3:3</w:t>
      </w:r>
    </w:p>
    <w:p>
      <w:pPr>
        <w:pStyle w:val="Body"/>
        <w:spacing w:after="60"/>
        <w:ind w:left="360"/>
      </w:pPr>
      <w:r>
        <w:rPr>
          <w:rtl w:val="0"/>
          <w:lang w:val="en-US"/>
        </w:rPr>
        <w:t xml:space="preserve">What does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born again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>refer to in the context?</w:t>
      </w:r>
    </w:p>
    <w:sectPr>
      <w:headerReference w:type="default" r:id="rId4"/>
      <w:footerReference w:type="default" r:id="rId5"/>
      <w:pgSz w:w="12240" w:h="15840" w:orient="portrait"/>
      <w:pgMar w:top="1440" w:right="1080" w:bottom="720" w:left="108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Arial Black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Link">
    <w:name w:val="Link"/>
    <w:rPr>
      <w:u w:val="single"/>
    </w:rPr>
  </w:style>
  <w:style w:type="character" w:styleId="Hyperlink.0">
    <w:name w:val="Hyperlink.0"/>
    <w:basedOn w:val="Link"/>
    <w:next w:val="Hyperlink.0"/>
    <w:rPr>
      <w:rFonts w:ascii="Times New Roman" w:cs="Times New Roman" w:hAnsi="Times New Roman" w:eastAsia="Times New Roman"/>
      <w:sz w:val="20"/>
      <w:szCs w:val="20"/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