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en-US"/>
        </w:rPr>
        <w:t>Examining the Scriptures - Are these things so?</w:t>
      </w:r>
      <w:r>
        <w:rPr>
          <w:b w:val="1"/>
          <w:bCs w:val="1"/>
          <w:sz w:val="26"/>
          <w:szCs w:val="26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2237740</wp:posOffset>
                </wp:positionH>
                <wp:positionV relativeFrom="page">
                  <wp:posOffset>417829</wp:posOffset>
                </wp:positionV>
                <wp:extent cx="2346127" cy="393701"/>
                <wp:effectExtent l="0" t="0" r="0" b="0"/>
                <wp:wrapNone/>
                <wp:docPr id="1073741825" name="officeArt object" descr="Sunday 5pm - Feb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6127" cy="393701"/>
                        </a:xfrm>
                        <a:prstGeom prst="rect">
                          <a:avLst/>
                        </a:prstGeom>
                        <a:noFill/>
                        <a:ln w="381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b w:val="1"/>
                                <w:bCs w:val="1"/>
                                <w:sz w:val="34"/>
                                <w:szCs w:val="34"/>
                                <w:rtl w:val="0"/>
                                <w:lang w:val="en-US"/>
                              </w:rPr>
                              <w:t>Sunday 5pm - Feb 16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176.2pt;margin-top:32.9pt;width:184.7pt;height:31.0pt;z-index:251659264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3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b w:val="1"/>
                          <w:bCs w:val="1"/>
                          <w:sz w:val="34"/>
                          <w:szCs w:val="34"/>
                          <w:rtl w:val="0"/>
                          <w:lang w:val="en-US"/>
                        </w:rPr>
                        <w:t>Sunday 5pm - Feb 16</w:t>
                      </w:r>
                    </w:p>
                  </w:txbxContent>
                </v:textbox>
                <w10:wrap type="none" side="bothSides" anchorx="margin" anchory="page"/>
              </v:shape>
            </w:pict>
          </mc:Fallback>
        </mc:AlternateContent>
      </w:r>
    </w:p>
    <w:p>
      <w:pPr>
        <w:pStyle w:val="Body"/>
        <w:bidi w:val="0"/>
      </w:pPr>
      <w:r>
        <w:rPr>
          <w:b w:val="1"/>
          <w:bCs w:val="1"/>
          <w:rtl w:val="0"/>
          <w:lang w:val="en-US"/>
        </w:rPr>
        <w:t>Ac 17:11</w:t>
      </w:r>
      <w:r>
        <w:rPr>
          <w:rtl w:val="0"/>
        </w:rPr>
        <w:t xml:space="preserve"> “…</w:t>
      </w:r>
      <w:r>
        <w:rPr>
          <w:rtl w:val="0"/>
        </w:rPr>
        <w:t>examining the Scriptures daily, to see whether these things were so</w:t>
      </w:r>
      <w:r>
        <w:rPr>
          <w:rtl w:val="0"/>
        </w:rPr>
        <w:t>”</w:t>
      </w: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en-US"/>
        </w:rPr>
        <w:t>Ac 17:11</w:t>
      </w:r>
      <w:r>
        <w:rPr>
          <w:rtl w:val="0"/>
        </w:rPr>
        <w:t xml:space="preserve"> - What two things are the people of Berea in the Jewish church there (synagogue) commended for? </w:t>
      </w:r>
    </w:p>
    <w:p>
      <w:pPr>
        <w:pStyle w:val="Body"/>
        <w:bidi w:val="0"/>
        <w:ind w:left="360"/>
      </w:pPr>
    </w:p>
    <w:p>
      <w:pPr>
        <w:pStyle w:val="Body"/>
        <w:bidi w:val="0"/>
        <w:ind w:left="360"/>
      </w:pPr>
    </w:p>
    <w:p>
      <w:pPr>
        <w:pStyle w:val="Body"/>
        <w:bidi w:val="0"/>
        <w:ind w:left="360"/>
      </w:pP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 xml:space="preserve">In the situation in </w:t>
      </w:r>
      <w:r>
        <w:rPr>
          <w:b w:val="1"/>
          <w:bCs w:val="1"/>
          <w:rtl w:val="0"/>
          <w:lang w:val="en-US"/>
        </w:rPr>
        <w:t>Acts 17</w:t>
      </w:r>
      <w:r>
        <w:rPr>
          <w:rtl w:val="0"/>
        </w:rPr>
        <w:t>, who was the preacher? What in the text indicates it was not disrespectful or out of place for them to examine his teaching to see if it was so?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 xml:space="preserve">What were the Thessalonian Christians exhorted to do relative to </w:t>
      </w:r>
      <w:r>
        <w:rPr>
          <w:rtl w:val="0"/>
        </w:rPr>
        <w:t>“</w:t>
      </w:r>
      <w:r>
        <w:rPr>
          <w:rtl w:val="0"/>
        </w:rPr>
        <w:t>prophecies</w:t>
      </w:r>
      <w:r>
        <w:rPr>
          <w:rtl w:val="0"/>
        </w:rPr>
        <w:t>”</w:t>
      </w:r>
      <w:r>
        <w:rPr>
          <w:rtl w:val="0"/>
        </w:rPr>
        <w:t xml:space="preserve">?  </w:t>
      </w:r>
      <w:r>
        <w:rPr>
          <w:b w:val="1"/>
          <w:bCs w:val="1"/>
          <w:rtl w:val="0"/>
          <w:lang w:val="en-US"/>
        </w:rPr>
        <w:t>1Th 5:19-12</w:t>
      </w:r>
      <w:r>
        <w:rPr>
          <w:b w:val="1"/>
          <w:bCs w:val="1"/>
          <w:rtl w:val="0"/>
          <w:lang w:val="en-US"/>
        </w:rPr>
        <w:t>…</w:t>
      </w:r>
      <w:r>
        <w:rPr>
          <w:b w:val="1"/>
          <w:bCs w:val="1"/>
          <w:rtl w:val="0"/>
          <w:lang w:val="en-US"/>
        </w:rPr>
        <w:t>21-22</w:t>
      </w:r>
      <w:r>
        <w:rPr>
          <w:rtl w:val="0"/>
        </w:rPr>
        <w:t>?</w:t>
      </w:r>
    </w:p>
    <w:p>
      <w:pPr>
        <w:pStyle w:val="Body"/>
        <w:bidi w:val="0"/>
        <w:ind w:left="360"/>
        <w:rPr>
          <w:rStyle w:val="answers, notes"/>
        </w:rPr>
      </w:pPr>
    </w:p>
    <w:p>
      <w:pPr>
        <w:pStyle w:val="Body"/>
        <w:bidi w:val="0"/>
        <w:ind w:left="360"/>
        <w:rPr>
          <w:rStyle w:val="answers, notes"/>
        </w:rPr>
      </w:pPr>
    </w:p>
    <w:p>
      <w:pPr>
        <w:pStyle w:val="Body"/>
        <w:bidi w:val="0"/>
        <w:ind w:left="360"/>
        <w:rPr>
          <w:rStyle w:val="answers, notes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Applying these exhortations</w:t>
      </w:r>
    </w:p>
    <w:p>
      <w:pPr>
        <w:pStyle w:val="Body"/>
        <w:rPr>
          <w:rStyle w:val="answers, notes"/>
          <w:b w:val="1"/>
          <w:bCs w:val="1"/>
        </w:rPr>
      </w:pP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en-US"/>
        </w:rPr>
        <w:t>Mt 11:12</w:t>
      </w:r>
      <w:r>
        <w:rPr>
          <w:rtl w:val="0"/>
        </w:rPr>
        <w:t xml:space="preserve"> - </w:t>
      </w:r>
      <w:r>
        <w:rPr>
          <w:rtl w:val="0"/>
        </w:rPr>
        <w:t xml:space="preserve">Below is an </w:t>
      </w:r>
      <w:r>
        <w:rPr>
          <w:rtl w:val="0"/>
        </w:rPr>
        <w:t>excerpt</w:t>
      </w:r>
      <w:r>
        <w:rPr>
          <w:rtl w:val="0"/>
        </w:rPr>
        <w:t xml:space="preserve"> of a </w:t>
      </w:r>
      <w:r>
        <w:rPr>
          <w:rtl w:val="0"/>
        </w:rPr>
        <w:t xml:space="preserve">discourse by </w:t>
      </w:r>
      <w:r>
        <w:rPr>
          <w:rtl w:val="1"/>
          <w:lang w:val="ar-SA" w:bidi="ar-SA"/>
        </w:rPr>
        <w:t>“</w:t>
      </w:r>
      <w:r>
        <w:rPr>
          <w:rtl w:val="0"/>
          <w:lang w:val="sv-SE"/>
        </w:rPr>
        <w:t>Pastor</w:t>
      </w:r>
      <w:r>
        <w:rPr>
          <w:rtl w:val="0"/>
        </w:rPr>
        <w:t xml:space="preserve">” </w:t>
      </w:r>
      <w:r>
        <w:rPr>
          <w:rtl w:val="0"/>
        </w:rPr>
        <w:t xml:space="preserve">or </w:t>
      </w:r>
      <w:r>
        <w:rPr>
          <w:rtl w:val="1"/>
          <w:lang w:val="ar-SA" w:bidi="ar-SA"/>
        </w:rPr>
        <w:t>“</w:t>
      </w:r>
      <w:r>
        <w:rPr>
          <w:rtl w:val="0"/>
        </w:rPr>
        <w:t>Reverend</w:t>
      </w:r>
      <w:r>
        <w:rPr>
          <w:rtl w:val="0"/>
        </w:rPr>
        <w:t xml:space="preserve">” </w:t>
      </w:r>
      <w:r>
        <w:rPr>
          <w:rtl w:val="0"/>
        </w:rPr>
        <w:t xml:space="preserve">Dr. Steve Caudle, the senior </w:t>
      </w:r>
      <w:r>
        <w:rPr>
          <w:rtl w:val="0"/>
        </w:rPr>
        <w:t>“</w:t>
      </w:r>
      <w:r>
        <w:rPr>
          <w:rtl w:val="0"/>
        </w:rPr>
        <w:t>reverend</w:t>
      </w:r>
      <w:r>
        <w:rPr>
          <w:rtl w:val="0"/>
        </w:rPr>
        <w:t>”</w:t>
      </w:r>
      <w:r>
        <w:rPr>
          <w:rtl w:val="0"/>
        </w:rPr>
        <w:t xml:space="preserve"> at the Greater Second Missionary Baptist Church in Chattanooga</w:t>
      </w:r>
      <w:r>
        <w:rPr>
          <w:rtl w:val="0"/>
        </w:rPr>
        <w:t>. He r</w:t>
      </w:r>
      <w:r>
        <w:rPr>
          <w:rtl w:val="0"/>
        </w:rPr>
        <w:t xml:space="preserve">eportedly </w:t>
      </w:r>
      <w:r>
        <w:rPr>
          <w:rtl w:val="0"/>
        </w:rPr>
        <w:t xml:space="preserve">has </w:t>
      </w:r>
      <w:r>
        <w:rPr>
          <w:rtl w:val="0"/>
        </w:rPr>
        <w:t>been pastor of his church in Chattanooga since 2006</w:t>
      </w:r>
      <w:r>
        <w:rPr>
          <w:rtl w:val="0"/>
        </w:rPr>
        <w:t>.</w:t>
      </w:r>
      <w:r>
        <w:rPr>
          <w:rtl w:val="0"/>
        </w:rPr>
        <w:t xml:space="preserve"> </w:t>
      </w:r>
      <w:r>
        <w:rPr>
          <w:rtl w:val="0"/>
        </w:rPr>
        <w:t xml:space="preserve">Using your tools for Bible interpretation, </w:t>
      </w:r>
      <w:r>
        <w:rPr>
          <w:rtl w:val="0"/>
        </w:rPr>
        <w:t>“</w:t>
      </w:r>
      <w:r>
        <w:rPr>
          <w:rtl w:val="0"/>
        </w:rPr>
        <w:t>examine</w:t>
      </w:r>
      <w:r>
        <w:rPr>
          <w:rtl w:val="0"/>
        </w:rPr>
        <w:t xml:space="preserve">” </w:t>
      </w:r>
      <w:r>
        <w:rPr>
          <w:rtl w:val="0"/>
        </w:rPr>
        <w:t>Mr. Caudle</w:t>
      </w:r>
      <w:r>
        <w:rPr>
          <w:rtl w:val="0"/>
        </w:rPr>
        <w:t>’</w:t>
      </w:r>
      <w:r>
        <w:rPr>
          <w:rtl w:val="0"/>
        </w:rPr>
        <w:t xml:space="preserve">s use of this Scripture to determine </w:t>
      </w:r>
      <w:r>
        <w:rPr>
          <w:rtl w:val="0"/>
        </w:rPr>
        <w:t>“</w:t>
      </w:r>
      <w:r>
        <w:rPr>
          <w:rtl w:val="0"/>
        </w:rPr>
        <w:t>whether these things are so</w:t>
      </w:r>
      <w:r>
        <w:rPr>
          <w:rtl w:val="0"/>
        </w:rPr>
        <w:t xml:space="preserve">” </w:t>
      </w:r>
      <w:r>
        <w:rPr>
          <w:rtl w:val="0"/>
        </w:rPr>
        <w:t>and explain why you reached that conclusion.</w:t>
      </w:r>
    </w:p>
    <w:p>
      <w:pPr>
        <w:pStyle w:val="Body"/>
        <w:rPr>
          <w:sz w:val="12"/>
          <w:szCs w:val="12"/>
        </w:rPr>
      </w:pPr>
    </w:p>
    <w:p>
      <w:pPr>
        <w:pStyle w:val="Body"/>
        <w:ind w:left="720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rtl w:val="0"/>
          <w:lang w:val="en-US"/>
        </w:rPr>
        <w:t>“</w:t>
      </w:r>
      <w:r>
        <w:rPr>
          <w:rFonts w:ascii="Times New Roman" w:hAnsi="Times New Roman"/>
          <w:b w:val="1"/>
          <w:bCs w:val="1"/>
          <w:rtl w:val="0"/>
          <w:lang w:val="en-US"/>
        </w:rPr>
        <w:t>sometimes violence is necessary</w:t>
      </w:r>
      <w:r>
        <w:rPr>
          <w:rFonts w:ascii="Times New Roman" w:hAnsi="Times New Roman"/>
          <w:rtl w:val="0"/>
          <w:lang w:val="en-US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 xml:space="preserve">… </w:t>
      </w:r>
      <w:r>
        <w:rPr>
          <w:rFonts w:ascii="Times New Roman" w:hAnsi="Times New Roman"/>
          <w:rtl w:val="0"/>
          <w:lang w:val="en-US"/>
        </w:rPr>
        <w:t xml:space="preserve">Sometimes the devil will act so ugly that </w:t>
      </w:r>
      <w:r>
        <w:rPr>
          <w:rFonts w:ascii="Times New Roman" w:hAnsi="Times New Roman"/>
          <w:b w:val="1"/>
          <w:bCs w:val="1"/>
          <w:rtl w:val="0"/>
          <w:lang w:val="en-US"/>
        </w:rPr>
        <w:t>you have no other choice but to get violent and fight.</w:t>
      </w:r>
      <w:r>
        <w:rPr>
          <w:rFonts w:ascii="Times New Roman" w:hAnsi="Times New Roman"/>
          <w:rtl w:val="0"/>
          <w:lang w:val="en-US"/>
        </w:rPr>
        <w:t xml:space="preserve"> Well, </w:t>
      </w:r>
      <w:r>
        <w:rPr>
          <w:rFonts w:ascii="Times New Roman" w:hAnsi="Times New Roman"/>
          <w:b w:val="1"/>
          <w:bCs w:val="1"/>
          <w:rtl w:val="0"/>
          <w:lang w:val="en-US"/>
        </w:rPr>
        <w:t>someone might say</w:t>
      </w:r>
      <w:r>
        <w:rPr>
          <w:rFonts w:ascii="Times New Roman" w:hAnsi="Times New Roman"/>
          <w:rtl w:val="0"/>
          <w:lang w:val="en-US"/>
        </w:rPr>
        <w:t xml:space="preserve">, now reverend, you know you shouldn't be talking about violence. </w:t>
      </w:r>
      <w:r>
        <w:rPr>
          <w:rFonts w:ascii="Times New Roman" w:hAnsi="Times New Roman"/>
          <w:b w:val="1"/>
          <w:bCs w:val="1"/>
          <w:rtl w:val="0"/>
          <w:lang w:val="en-US"/>
        </w:rPr>
        <w:t>This isn't the Christian thing to do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/>
          <w:b w:val="1"/>
          <w:bCs w:val="1"/>
          <w:rtl w:val="0"/>
          <w:lang w:val="en-US"/>
        </w:rPr>
        <w:t>Well, I will say, why not talk this way because Jesus did</w:t>
      </w:r>
      <w:r>
        <w:rPr>
          <w:rFonts w:ascii="Times New Roman" w:hAnsi="Times New Roman"/>
          <w:rtl w:val="0"/>
          <w:lang w:val="en-US"/>
        </w:rPr>
        <w:t xml:space="preserve">. Jesus said in this </w:t>
      </w:r>
      <w:r>
        <w:rPr>
          <w:rFonts w:ascii="Times New Roman" w:hAnsi="Times New Roman"/>
          <w:rtl w:val="0"/>
          <w:lang w:val="en-US"/>
        </w:rPr>
        <w:t>in</w:t>
      </w:r>
      <w:r>
        <w:rPr>
          <w:rFonts w:ascii="Times New Roman" w:hAnsi="Times New Roman"/>
          <w:rtl w:val="0"/>
          <w:lang w:val="en-US"/>
        </w:rPr>
        <w:t xml:space="preserve"> this key verse, didn't he? </w:t>
      </w:r>
      <w:r>
        <w:rPr>
          <w:rFonts w:ascii="Times New Roman" w:hAnsi="Times New Roman" w:hint="default"/>
          <w:rtl w:val="0"/>
          <w:lang w:val="en-US"/>
        </w:rPr>
        <w:t>“</w:t>
      </w:r>
      <w:r>
        <w:rPr>
          <w:rFonts w:ascii="Times New Roman" w:hAnsi="Times New Roman"/>
          <w:rtl w:val="0"/>
          <w:lang w:val="en-US"/>
        </w:rPr>
        <w:t>The kingdom of heaven suffers</w:t>
      </w:r>
      <w:r>
        <w:rPr>
          <w:rFonts w:ascii="Times New Roman" w:hAnsi="Times New Roman" w:hint="default"/>
          <w:rtl w:val="0"/>
          <w:lang w:val="en-US"/>
        </w:rPr>
        <w:t>”—</w:t>
      </w:r>
      <w:r>
        <w:rPr>
          <w:rFonts w:ascii="Times New Roman" w:hAnsi="Times New Roman"/>
          <w:rtl w:val="0"/>
          <w:lang w:val="en-US"/>
        </w:rPr>
        <w:t xml:space="preserve">what? </w:t>
      </w:r>
      <w:r>
        <w:rPr>
          <w:rFonts w:ascii="Times New Roman" w:hAnsi="Times New Roman" w:hint="default"/>
          <w:rtl w:val="0"/>
          <w:lang w:val="en-US"/>
        </w:rPr>
        <w:t>“</w:t>
      </w:r>
      <w:r>
        <w:rPr>
          <w:rFonts w:ascii="Times New Roman" w:hAnsi="Times New Roman"/>
          <w:rtl w:val="0"/>
          <w:lang w:val="en-US"/>
        </w:rPr>
        <w:t>V</w:t>
      </w:r>
      <w:r>
        <w:rPr>
          <w:rFonts w:ascii="Times New Roman" w:hAnsi="Times New Roman"/>
          <w:rtl w:val="0"/>
          <w:lang w:val="fr-FR"/>
        </w:rPr>
        <w:t>iolence</w:t>
      </w:r>
      <w:r>
        <w:rPr>
          <w:rFonts w:ascii="Times New Roman" w:hAnsi="Times New Roman"/>
          <w:rtl w:val="0"/>
          <w:lang w:val="en-US"/>
        </w:rPr>
        <w:t>.</w:t>
      </w:r>
      <w:r>
        <w:rPr>
          <w:rFonts w:ascii="Times New Roman" w:hAnsi="Times New Roman" w:hint="default"/>
          <w:rtl w:val="0"/>
          <w:lang w:val="en-US"/>
        </w:rPr>
        <w:t>”</w:t>
      </w:r>
      <w:r>
        <w:rPr>
          <w:rFonts w:ascii="Times New Roman" w:hAnsi="Times New Roman"/>
          <w:rtl w:val="0"/>
        </w:rPr>
        <w:t xml:space="preserve"> </w:t>
      </w:r>
      <w:r>
        <w:rPr>
          <w:rFonts w:ascii="Times New Roman" w:hAnsi="Times New Roman"/>
          <w:rtl w:val="0"/>
          <w:lang w:val="en-US"/>
        </w:rPr>
        <w:t>A</w:t>
      </w:r>
      <w:r>
        <w:rPr>
          <w:rFonts w:ascii="Times New Roman" w:hAnsi="Times New Roman"/>
          <w:rtl w:val="0"/>
        </w:rPr>
        <w:t>nd</w:t>
      </w:r>
      <w:r>
        <w:rPr>
          <w:rFonts w:ascii="Times New Roman" w:hAnsi="Times New Roman"/>
          <w:rtl w:val="0"/>
          <w:lang w:val="en-US"/>
        </w:rPr>
        <w:t>,</w:t>
      </w:r>
      <w:r>
        <w:rPr>
          <w:rFonts w:ascii="Times New Roman" w:hAnsi="Times New Roman"/>
          <w:rtl w:val="0"/>
        </w:rPr>
        <w:t xml:space="preserve"> </w:t>
      </w:r>
      <w:r>
        <w:rPr>
          <w:rFonts w:ascii="Times New Roman" w:hAnsi="Times New Roman" w:hint="default"/>
          <w:rtl w:val="0"/>
          <w:lang w:val="en-US"/>
        </w:rPr>
        <w:t>“</w:t>
      </w:r>
      <w:r>
        <w:rPr>
          <w:rFonts w:ascii="Times New Roman" w:hAnsi="Times New Roman"/>
          <w:rtl w:val="0"/>
          <w:lang w:val="en-US"/>
        </w:rPr>
        <w:t>the violent take it by force.</w:t>
      </w:r>
      <w:r>
        <w:rPr>
          <w:rFonts w:ascii="Times New Roman" w:hAnsi="Times New Roman" w:hint="default"/>
          <w:rtl w:val="0"/>
          <w:lang w:val="en-US"/>
        </w:rPr>
        <w:t>”</w:t>
      </w:r>
      <w:r>
        <w:rPr>
          <w:rFonts w:ascii="Times New Roman" w:hAnsi="Times New Roman"/>
          <w:rtl w:val="0"/>
          <w:lang w:val="en-US"/>
        </w:rPr>
        <w:t xml:space="preserve"> The kingdom of God is a war zone. It is a battlefield.</w:t>
      </w:r>
      <w:r>
        <w:rPr>
          <w:rFonts w:ascii="Times New Roman" w:hAnsi="Times New Roman" w:hint="default"/>
          <w:rtl w:val="0"/>
          <w:lang w:val="en-US"/>
        </w:rPr>
        <w:t xml:space="preserve">” </w:t>
      </w:r>
      <w:r>
        <w:rPr>
          <w:rFonts w:ascii="Times New Roman" w:hAnsi="Times New Roman"/>
          <w:rtl w:val="0"/>
          <w:lang w:val="en-US"/>
        </w:rPr>
        <w:t xml:space="preserve">[boldmine]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en-US"/>
        </w:rPr>
        <w:t>Mt 11:11</w:t>
      </w:r>
      <w:r>
        <w:rPr>
          <w:rtl w:val="0"/>
        </w:rPr>
        <w:t xml:space="preserve"> - Someuse this verse to </w:t>
      </w:r>
      <w:r>
        <w:rPr>
          <w:rtl w:val="0"/>
        </w:rPr>
        <w:t>“</w:t>
      </w:r>
      <w:r>
        <w:rPr>
          <w:rtl w:val="0"/>
        </w:rPr>
        <w:t>prove</w:t>
      </w:r>
      <w:r>
        <w:rPr>
          <w:rtl w:val="0"/>
        </w:rPr>
        <w:t xml:space="preserve">” </w:t>
      </w:r>
      <w:r>
        <w:rPr>
          <w:rtl w:val="0"/>
        </w:rPr>
        <w:t xml:space="preserve">that the kingdom of heaven was already in existence in the time of John the Baptist, for it says, </w:t>
      </w:r>
      <w:r>
        <w:rPr>
          <w:rtl w:val="0"/>
        </w:rPr>
        <w:t>“</w:t>
      </w:r>
      <w:r>
        <w:rPr>
          <w:rtl w:val="0"/>
        </w:rPr>
        <w:t>the one who is least in the kingdom of heaven is</w:t>
      </w:r>
      <w:r>
        <w:rPr>
          <w:rtl w:val="0"/>
        </w:rPr>
        <w:t xml:space="preserve">…” </w:t>
      </w:r>
      <w:r>
        <w:rPr>
          <w:rtl w:val="0"/>
        </w:rPr>
        <w:t xml:space="preserve">The argument is, Jesus said people were </w:t>
      </w:r>
      <w:r>
        <w:rPr>
          <w:rtl w:val="0"/>
        </w:rPr>
        <w:t>“</w:t>
      </w:r>
      <w:r>
        <w:rPr>
          <w:rtl w:val="0"/>
        </w:rPr>
        <w:t>in the kingdom</w:t>
      </w:r>
      <w:r>
        <w:rPr>
          <w:rtl w:val="0"/>
        </w:rPr>
        <w:t xml:space="preserve">” </w:t>
      </w:r>
      <w:r>
        <w:rPr>
          <w:rtl w:val="0"/>
        </w:rPr>
        <w:t xml:space="preserve">at the time he spoke, therefore the kingdom had to be in existense. </w:t>
      </w:r>
      <w:r>
        <w:rPr>
          <w:rtl w:val="0"/>
        </w:rPr>
        <w:t xml:space="preserve">Using your tools for Bible interpretation, </w:t>
      </w:r>
      <w:r>
        <w:rPr>
          <w:rtl w:val="1"/>
          <w:lang w:val="ar-SA" w:bidi="ar-SA"/>
        </w:rPr>
        <w:t>“</w:t>
      </w:r>
      <w:r>
        <w:rPr>
          <w:rtl w:val="0"/>
        </w:rPr>
        <w:t>test</w:t>
      </w:r>
      <w:r>
        <w:rPr>
          <w:rtl w:val="0"/>
        </w:rPr>
        <w:t xml:space="preserve">” </w:t>
      </w:r>
      <w:r>
        <w:rPr>
          <w:rtl w:val="0"/>
        </w:rPr>
        <w:t xml:space="preserve">this conclusion to determine, </w:t>
      </w:r>
      <w:r>
        <w:rPr>
          <w:rtl w:val="1"/>
          <w:lang w:val="ar-SA" w:bidi="ar-SA"/>
        </w:rPr>
        <w:t>“</w:t>
      </w:r>
      <w:r>
        <w:rPr>
          <w:rtl w:val="0"/>
        </w:rPr>
        <w:t>whether these things are so</w:t>
      </w:r>
      <w:r>
        <w:rPr>
          <w:rtl w:val="0"/>
        </w:rPr>
        <w:t xml:space="preserve">” </w:t>
      </w:r>
      <w:r>
        <w:rPr>
          <w:rtl w:val="0"/>
        </w:rPr>
        <w:t>and explain why you reached that conclusion.</w:t>
      </w:r>
    </w:p>
    <w:p>
      <w:pPr>
        <w:pStyle w:val="Body"/>
        <w:rPr>
          <w:sz w:val="10"/>
          <w:szCs w:val="10"/>
        </w:rPr>
      </w:pPr>
    </w:p>
    <w:p>
      <w:pPr>
        <w:pStyle w:val="Body"/>
        <w:spacing w:after="120"/>
        <w:ind w:left="360"/>
      </w:pPr>
      <w:r>
        <w:rPr>
          <w:rtl w:val="0"/>
          <w:lang w:val="en-US"/>
        </w:rPr>
        <w:t xml:space="preserve">Some tips </w:t>
      </w:r>
      <w:r>
        <w:rPr>
          <w:rtl w:val="0"/>
          <w:lang w:val="en-US"/>
        </w:rPr>
        <w:t>…</w:t>
      </w:r>
    </w:p>
    <w:p>
      <w:pPr>
        <w:pStyle w:val="Body"/>
        <w:numPr>
          <w:ilvl w:val="0"/>
          <w:numId w:val="4"/>
        </w:numPr>
        <w:spacing w:after="120"/>
        <w:rPr>
          <w:lang w:val="en-US"/>
        </w:rPr>
      </w:pPr>
      <w:r>
        <w:rPr>
          <w:rtl w:val="0"/>
          <w:lang w:val="en-US"/>
        </w:rPr>
        <w:t xml:space="preserve">There is no word for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is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in the phrase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the one who is least in the kingdom of heaven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- Some translations reflect this, for example, the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King James 3,</w:t>
      </w:r>
      <w:r>
        <w:rPr>
          <w:rtl w:val="0"/>
          <w:lang w:val="en-US"/>
        </w:rPr>
        <w:t>” “</w:t>
      </w:r>
      <w:r>
        <w:rPr>
          <w:rtl w:val="0"/>
          <w:lang w:val="en-US"/>
        </w:rPr>
        <w:t>A Faithful Version,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and the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New Revised Standard Version.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In this phrase,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is least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>translates an adjective.</w:t>
      </w:r>
    </w:p>
    <w:p>
      <w:pPr>
        <w:pStyle w:val="Body"/>
        <w:numPr>
          <w:ilvl w:val="0"/>
          <w:numId w:val="4"/>
        </w:numPr>
        <w:spacing w:after="120"/>
        <w:rPr>
          <w:lang w:val="en-US"/>
        </w:rPr>
      </w:pPr>
      <w:r>
        <w:rPr>
          <w:rtl w:val="0"/>
          <w:lang w:val="en-US"/>
        </w:rPr>
        <w:t xml:space="preserve">Compare </w:t>
      </w:r>
      <w:r>
        <w:rPr>
          <w:b w:val="1"/>
          <w:bCs w:val="1"/>
          <w:rtl w:val="0"/>
        </w:rPr>
        <w:t>Lk 24:26; Ac 2:32-36; Heb 12:2</w:t>
      </w:r>
      <w:r>
        <w:rPr>
          <w:rtl w:val="0"/>
          <w:lang w:val="en-US"/>
        </w:rPr>
        <w:t>. When did Jesus began to reign?</w:t>
      </w:r>
    </w:p>
    <w:p>
      <w:pPr>
        <w:pStyle w:val="Body"/>
        <w:numPr>
          <w:ilvl w:val="0"/>
          <w:numId w:val="4"/>
        </w:numPr>
        <w:bidi w:val="0"/>
      </w:pPr>
      <w:r>
        <w:rPr>
          <w:rtl w:val="0"/>
        </w:rPr>
        <w:t xml:space="preserve">See </w:t>
      </w:r>
      <w:r>
        <w:rPr>
          <w:b w:val="1"/>
          <w:bCs w:val="1"/>
          <w:rtl w:val="0"/>
          <w:lang w:val="en-US"/>
        </w:rPr>
        <w:t xml:space="preserve">Lk 10:20; Lk 11:27-28; Lk 12:21, 28-33; Eph 1:3 </w:t>
      </w:r>
      <w:r>
        <w:rPr>
          <w:b w:val="1"/>
          <w:bCs w:val="1"/>
          <w:rtl w:val="0"/>
        </w:rPr>
        <w:t xml:space="preserve">… </w:t>
      </w:r>
      <w:r>
        <w:rPr>
          <w:b w:val="1"/>
          <w:bCs w:val="1"/>
          <w:rtl w:val="0"/>
        </w:rPr>
        <w:t>3:8; Col 2:2-3; Mt 13:44,46</w:t>
      </w:r>
      <w:r>
        <w:rPr>
          <w:rtl w:val="0"/>
        </w:rPr>
        <w:t>—</w:t>
      </w:r>
      <w:r>
        <w:rPr>
          <w:rtl w:val="0"/>
        </w:rPr>
        <w:t>note the comparisons.</w:t>
      </w:r>
    </w:p>
    <w:sectPr>
      <w:headerReference w:type="default" r:id="rId4"/>
      <w:footerReference w:type="default" r:id="rId5"/>
      <w:pgSz w:w="12240" w:h="15840" w:orient="portrait"/>
      <w:pgMar w:top="1440" w:right="1440" w:bottom="108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bered"/>
  </w:abstractNum>
  <w:abstractNum w:abstractNumId="1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Bullet"/>
  </w:abstractNum>
  <w:abstractNum w:abstractNumId="3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Numbered">
    <w:name w:val="Numbered"/>
    <w:pPr>
      <w:numPr>
        <w:numId w:val="1"/>
      </w:numPr>
    </w:pPr>
  </w:style>
  <w:style w:type="character" w:styleId="answers, notes">
    <w:name w:val="answers, notes"/>
    <w:rPr>
      <w:rFonts w:ascii="Times New Roman" w:cs="Times New Roman" w:hAnsi="Times New Roman" w:eastAsia="Times New Roman"/>
      <w:b w:val="0"/>
      <w:bCs w:val="0"/>
      <w:i w:val="0"/>
      <w:iCs w:val="0"/>
      <w:outline w:val="0"/>
      <w:color w:val="0432ff"/>
      <w14:textFill>
        <w14:solidFill>
          <w14:srgbClr w14:val="0433FF"/>
        </w14:solidFill>
      </w14:textFill>
    </w:rPr>
  </w:style>
  <w:style w:type="numbering" w:styleId="Bullet">
    <w:name w:val="Bullet"/>
    <w:pPr>
      <w:numPr>
        <w:numId w:val="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