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keepNext w:val="1"/>
        <w:spacing w:before="0" w:line="240" w:lineRule="auto"/>
        <w:jc w:val="left"/>
        <w:outlineLvl w:val="0"/>
        <w:rPr>
          <w:rFonts w:ascii="Helvetica" w:cs="Helvetica" w:hAnsi="Helvetica" w:eastAsia="Helvetica"/>
          <w:b w:val="1"/>
          <w:bCs w:val="1"/>
          <w:kern w:val="28"/>
          <w:sz w:val="2"/>
          <w:szCs w:val="2"/>
          <w:lang w:val="en-US"/>
        </w:rPr>
      </w:pPr>
      <w:r>
        <w:rPr>
          <w:rFonts w:ascii="Helvetica" w:cs="Helvetica" w:hAnsi="Helvetica" w:eastAsia="Helvetica"/>
          <w:b w:val="1"/>
          <w:bCs w:val="1"/>
          <w:kern w:val="28"/>
          <w:sz w:val="12"/>
          <w:szCs w:val="12"/>
          <w:lang w:val="en-US"/>
        </w:rP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margin">
                  <wp:posOffset>5202766</wp:posOffset>
                </wp:positionH>
                <wp:positionV relativeFrom="line">
                  <wp:posOffset>-85725</wp:posOffset>
                </wp:positionV>
                <wp:extent cx="737659" cy="300005"/>
                <wp:effectExtent l="0" t="0" r="0" b="0"/>
                <wp:wrapNone/>
                <wp:docPr id="1073741825" name="officeArt object" descr="Acronyms of references at end"/>
                <wp:cNvGraphicFramePr/>
                <a:graphic xmlns:a="http://schemas.openxmlformats.org/drawingml/2006/main">
                  <a:graphicData uri="http://schemas.microsoft.com/office/word/2010/wordprocessingShape">
                    <wps:wsp>
                      <wps:cNvSpPr txBox="1"/>
                      <wps:spPr>
                        <a:xfrm>
                          <a:off x="0" y="0"/>
                          <a:ext cx="737659" cy="300005"/>
                        </a:xfrm>
                        <a:prstGeom prst="rect">
                          <a:avLst/>
                        </a:prstGeom>
                        <a:noFill/>
                        <a:ln w="6350" cap="flat">
                          <a:solidFill>
                            <a:srgbClr val="000000"/>
                          </a:solidFill>
                          <a:prstDash val="solid"/>
                          <a:miter lim="400000"/>
                        </a:ln>
                        <a:effectLst/>
                      </wps:spPr>
                      <wps:txbx>
                        <w:txbxContent>
                          <w:p>
                            <w:pPr>
                              <w:pStyle w:val="Body"/>
                            </w:pPr>
                            <w:r>
                              <w:rPr>
                                <w:sz w:val="14"/>
                                <w:szCs w:val="14"/>
                                <w:rtl w:val="0"/>
                                <w:lang w:val="en-US"/>
                              </w:rPr>
                              <w:t>Acronyms of references at end</w:t>
                            </w:r>
                          </w:p>
                        </w:txbxContent>
                      </wps:txbx>
                      <wps:bodyPr wrap="square" lIns="38100" tIns="38100" rIns="38100" bIns="38100" numCol="1" anchor="t">
                        <a:noAutofit/>
                      </wps:bodyPr>
                    </wps:wsp>
                  </a:graphicData>
                </a:graphic>
              </wp:anchor>
            </w:drawing>
          </mc:Choice>
          <mc:Fallback>
            <w:pict>
              <v:shape id="_x0000_s1026" type="#_x0000_t202" style="visibility:visible;position:absolute;margin-left:409.7pt;margin-top:-6.8pt;width:58.1pt;height:23.6pt;z-index:251660288;mso-position-horizontal:absolute;mso-position-horizontal-relative:margin;mso-position-vertical:absolute;mso-position-vertical-relative:line;mso-wrap-distance-left:12.0pt;mso-wrap-distance-top:12.0pt;mso-wrap-distance-right:12.0pt;mso-wrap-distance-bottom:12.0pt;">
                <v:fill on="f"/>
                <v:stroke filltype="solid" color="#000000" opacity="100.0%" weight="0.5pt" dashstyle="solid" endcap="flat" miterlimit="400.0%" joinstyle="miter" linestyle="single" startarrow="none" startarrowwidth="medium" startarrowlength="medium" endarrow="none" endarrowwidth="medium" endarrowlength="medium"/>
                <v:textbox>
                  <w:txbxContent>
                    <w:p>
                      <w:pPr>
                        <w:pStyle w:val="Body"/>
                      </w:pPr>
                      <w:r>
                        <w:rPr>
                          <w:sz w:val="14"/>
                          <w:szCs w:val="14"/>
                          <w:rtl w:val="0"/>
                          <w:lang w:val="en-US"/>
                        </w:rPr>
                        <w:t>Acronyms of references at end</w:t>
                      </w:r>
                    </w:p>
                  </w:txbxContent>
                </v:textbox>
                <w10:wrap type="none" side="bothSides" anchorx="margin"/>
              </v:shape>
            </w:pict>
          </mc:Fallback>
        </mc:AlternateContent>
      </w:r>
      <w:r>
        <w:rPr>
          <w:rFonts w:ascii="Helvetica" w:cs="Helvetica" w:hAnsi="Helvetica" w:eastAsia="Helvetica"/>
          <w:b w:val="1"/>
          <w:bCs w:val="1"/>
          <w:kern w:val="28"/>
          <w:sz w:val="12"/>
          <w:szCs w:val="12"/>
          <w:lang w:val="en-US"/>
        </w:rP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margin">
                  <wp:posOffset>1790534</wp:posOffset>
                </wp:positionH>
                <wp:positionV relativeFrom="page">
                  <wp:posOffset>332316</wp:posOffset>
                </wp:positionV>
                <wp:extent cx="2819731" cy="347134"/>
                <wp:effectExtent l="0" t="0" r="0" b="0"/>
                <wp:wrapNone/>
                <wp:docPr id="1073741826" name="officeArt object" descr="Sun 5pm - July 20, 2025"/>
                <wp:cNvGraphicFramePr/>
                <a:graphic xmlns:a="http://schemas.openxmlformats.org/drawingml/2006/main">
                  <a:graphicData uri="http://schemas.microsoft.com/office/word/2010/wordprocessingShape">
                    <wps:wsp>
                      <wps:cNvSpPr txBox="1"/>
                      <wps:spPr>
                        <a:xfrm>
                          <a:off x="0" y="0"/>
                          <a:ext cx="2819731" cy="347134"/>
                        </a:xfrm>
                        <a:prstGeom prst="rect">
                          <a:avLst/>
                        </a:prstGeom>
                        <a:noFill/>
                        <a:ln w="12700" cap="flat">
                          <a:solidFill>
                            <a:srgbClr val="000000"/>
                          </a:solidFill>
                          <a:prstDash val="solid"/>
                          <a:miter lim="400000"/>
                        </a:ln>
                        <a:effectLst/>
                      </wps:spPr>
                      <wps:txbx>
                        <w:txbxContent>
                          <w:p>
                            <w:pPr>
                              <w:pStyle w:val="Body"/>
                              <w:jc w:val="center"/>
                            </w:pPr>
                            <w:r>
                              <w:rPr>
                                <w:rFonts w:ascii="Franklin Gothic" w:hAnsi="Franklin Gothic"/>
                                <w:sz w:val="32"/>
                                <w:szCs w:val="32"/>
                                <w:rtl w:val="0"/>
                                <w:lang w:val="en-US"/>
                              </w:rPr>
                              <w:t xml:space="preserve">Sun 5pm - </w:t>
                            </w:r>
                            <w:r>
                              <w:rPr>
                                <w:rFonts w:ascii="Franklin Gothic" w:hAnsi="Franklin Gothic"/>
                                <w:sz w:val="32"/>
                                <w:szCs w:val="32"/>
                                <w:rtl w:val="0"/>
                                <w:lang w:val="en-US"/>
                              </w:rPr>
                              <w:t>July 20, 2025</w:t>
                            </w:r>
                          </w:p>
                        </w:txbxContent>
                      </wps:txbx>
                      <wps:bodyPr wrap="square" lIns="38100" tIns="38100" rIns="38100" bIns="38100" numCol="1" anchor="t">
                        <a:noAutofit/>
                      </wps:bodyPr>
                    </wps:wsp>
                  </a:graphicData>
                </a:graphic>
              </wp:anchor>
            </w:drawing>
          </mc:Choice>
          <mc:Fallback>
            <w:pict>
              <v:shape id="_x0000_s1027" type="#_x0000_t202" style="visibility:visible;position:absolute;margin-left:141.0pt;margin-top:26.2pt;width:222.0pt;height:27.3pt;z-index:251659264;mso-position-horizontal:absolute;mso-position-horizontal-relative:margin;mso-position-vertical:absolute;mso-position-vertical-relative:page;mso-wrap-distance-left:12.0pt;mso-wrap-distance-top:12.0pt;mso-wrap-distance-right:12.0pt;mso-wrap-distance-bottom:12.0pt;">
                <v:fill on="f"/>
                <v:stroke filltype="solid" color="#000000" opacity="100.0%" weight="1.0pt" dashstyle="solid" endcap="flat" miterlimit="400.0%" joinstyle="miter" linestyle="single" startarrow="none" startarrowwidth="medium" startarrowlength="medium" endarrow="none" endarrowwidth="medium" endarrowlength="medium"/>
                <v:textbox>
                  <w:txbxContent>
                    <w:p>
                      <w:pPr>
                        <w:pStyle w:val="Body"/>
                        <w:jc w:val="center"/>
                      </w:pPr>
                      <w:r>
                        <w:rPr>
                          <w:rFonts w:ascii="Franklin Gothic" w:hAnsi="Franklin Gothic"/>
                          <w:sz w:val="32"/>
                          <w:szCs w:val="32"/>
                          <w:rtl w:val="0"/>
                          <w:lang w:val="en-US"/>
                        </w:rPr>
                        <w:t xml:space="preserve">Sun 5pm - </w:t>
                      </w:r>
                      <w:r>
                        <w:rPr>
                          <w:rFonts w:ascii="Franklin Gothic" w:hAnsi="Franklin Gothic"/>
                          <w:sz w:val="32"/>
                          <w:szCs w:val="32"/>
                          <w:rtl w:val="0"/>
                          <w:lang w:val="en-US"/>
                        </w:rPr>
                        <w:t>July 20, 2025</w:t>
                      </w:r>
                    </w:p>
                  </w:txbxContent>
                </v:textbox>
                <w10:wrap type="none" side="bothSides" anchorx="margin" anchory="page"/>
              </v:shape>
            </w:pict>
          </mc:Fallback>
        </mc:AlternateContent>
      </w:r>
    </w:p>
    <w:p>
      <w:pPr>
        <w:pStyle w:val="Default"/>
        <w:keepNext w:val="1"/>
        <w:spacing w:before="0" w:after="60" w:line="240" w:lineRule="auto"/>
        <w:jc w:val="left"/>
        <w:outlineLvl w:val="0"/>
        <w:rPr>
          <w:rFonts w:ascii="Helvetica" w:cs="Helvetica" w:hAnsi="Helvetica" w:eastAsia="Helvetica"/>
          <w:b w:val="1"/>
          <w:bCs w:val="1"/>
          <w:outline w:val="0"/>
          <w:color w:val="000000"/>
          <w:kern w:val="28"/>
          <w:sz w:val="28"/>
          <w:szCs w:val="28"/>
          <w:lang w:val="en-US"/>
          <w14:textFill>
            <w14:solidFill>
              <w14:srgbClr w14:val="000000"/>
            </w14:solidFill>
          </w14:textFill>
        </w:rPr>
      </w:pPr>
      <w:r>
        <w:rPr>
          <w:rFonts w:ascii="Helvetica" w:hAnsi="Helvetica"/>
          <w:b w:val="1"/>
          <w:bCs w:val="1"/>
          <w:kern w:val="28"/>
          <w:sz w:val="28"/>
          <w:szCs w:val="28"/>
          <w:rtl w:val="0"/>
          <w:lang w:val="en-US"/>
        </w:rPr>
        <w:t>Topic: What is the Apocrypha? Why is it not in our Bible?</w:t>
      </w:r>
    </w:p>
    <w:p>
      <w:pPr>
        <w:pStyle w:val="Default"/>
        <w:keepNext w:val="1"/>
        <w:spacing w:before="180" w:after="60" w:line="240" w:lineRule="auto"/>
        <w:jc w:val="left"/>
        <w:outlineLvl w:val="1"/>
        <w:rPr>
          <w:rFonts w:ascii="Helvetica" w:cs="Helvetica" w:hAnsi="Helvetica" w:eastAsia="Helvetica"/>
          <w:b w:val="1"/>
          <w:bCs w:val="1"/>
          <w:i w:val="1"/>
          <w:iCs w:val="1"/>
          <w:sz w:val="24"/>
          <w:szCs w:val="24"/>
          <w:lang w:val="en-US"/>
        </w:rPr>
      </w:pPr>
      <w:r>
        <w:rPr>
          <w:rFonts w:ascii="Helvetica" w:hAnsi="Helvetica"/>
          <w:b w:val="1"/>
          <w:bCs w:val="1"/>
          <w:i w:val="1"/>
          <w:iCs w:val="1"/>
          <w:sz w:val="24"/>
          <w:szCs w:val="24"/>
          <w:rtl w:val="0"/>
          <w:lang w:val="en-US"/>
        </w:rPr>
        <w:t>What is the Apocrypha?</w:t>
      </w:r>
    </w:p>
    <w:p>
      <w:pPr>
        <w:pStyle w:val="Default"/>
        <w:spacing w:before="0" w:line="240" w:lineRule="auto"/>
        <w:jc w:val="left"/>
        <w:rPr>
          <w:rFonts w:ascii="Times New Roman" w:cs="Times New Roman" w:hAnsi="Times New Roman" w:eastAsia="Times New Roman"/>
          <w:lang w:val="en-US"/>
        </w:rPr>
      </w:pPr>
      <w:r>
        <w:rPr>
          <w:rFonts w:ascii="Times New Roman" w:hAnsi="Times New Roman" w:hint="default"/>
          <w:rtl w:val="0"/>
          <w:lang w:val="en-US"/>
        </w:rPr>
        <w:t>“</w:t>
      </w:r>
      <w:r>
        <w:rPr>
          <w:rFonts w:ascii="Times New Roman" w:hAnsi="Times New Roman"/>
          <w:rtl w:val="0"/>
          <w:lang w:val="en-US"/>
        </w:rPr>
        <w:t>Apocrypha</w:t>
      </w:r>
      <w:r>
        <w:rPr>
          <w:rFonts w:ascii="Times New Roman" w:hAnsi="Times New Roman" w:hint="default"/>
          <w:rtl w:val="0"/>
          <w:lang w:val="en-US"/>
        </w:rPr>
        <w:t>”</w:t>
      </w:r>
      <w:r>
        <w:rPr>
          <w:rFonts w:ascii="Times New Roman" w:hAnsi="Times New Roman" w:hint="default"/>
          <w:rtl w:val="0"/>
          <w:lang w:val="en-US"/>
        </w:rPr>
        <w:t>—</w:t>
      </w:r>
      <w:r>
        <w:rPr>
          <w:rFonts w:ascii="Times New Roman" w:hAnsi="Times New Roman"/>
          <w:rtl w:val="0"/>
          <w:lang w:val="en-US"/>
        </w:rPr>
        <w:t xml:space="preserve">the etymology of the word </w:t>
      </w:r>
      <w:r>
        <w:rPr>
          <w:rFonts w:ascii="Times New Roman" w:hAnsi="Times New Roman"/>
          <w:rtl w:val="0"/>
          <w:lang w:val="en-US"/>
        </w:rPr>
        <w:t xml:space="preserve">means </w:t>
      </w:r>
      <w:r>
        <w:rPr>
          <w:rFonts w:ascii="Times New Roman" w:hAnsi="Times New Roman" w:hint="default"/>
          <w:rtl w:val="0"/>
          <w:lang w:val="en-US"/>
        </w:rPr>
        <w:t>“</w:t>
      </w:r>
      <w:r>
        <w:rPr>
          <w:rFonts w:ascii="Times New Roman" w:hAnsi="Times New Roman"/>
          <w:rtl w:val="0"/>
          <w:lang w:val="en-US"/>
        </w:rPr>
        <w:t>hidden.</w:t>
      </w:r>
      <w:r>
        <w:rPr>
          <w:rFonts w:ascii="Times New Roman" w:hAnsi="Times New Roman" w:hint="default"/>
          <w:rtl w:val="0"/>
          <w:lang w:val="en-US"/>
        </w:rPr>
        <w:t>”</w:t>
      </w:r>
      <w:r>
        <w:rPr>
          <w:rFonts w:ascii="Times New Roman" w:hAnsi="Times New Roman"/>
          <w:rtl w:val="0"/>
          <w:lang w:val="en-US"/>
        </w:rPr>
        <w:t xml:space="preserve"> </w:t>
      </w:r>
      <w:r>
        <w:rPr>
          <w:rFonts w:ascii="Times New Roman" w:hAnsi="Times New Roman"/>
          <w:rtl w:val="0"/>
          <w:lang w:val="en-US"/>
        </w:rPr>
        <w:t>It is a term used today to refer to books not included in the standard editions of major versions (e.g., KJV, NKJV, ASV, NASB, ESV). Some of these will have special editions with the Apocrypha.</w:t>
      </w:r>
      <w:r>
        <w:rPr>
          <w:rFonts w:ascii="Times New Roman" w:hAnsi="Times New Roman"/>
          <w:rtl w:val="0"/>
          <w:lang w:val="en-US"/>
        </w:rPr>
        <w:t xml:space="preserve"> </w:t>
      </w:r>
      <w:r>
        <w:rPr>
          <w:rFonts w:ascii="Times New Roman" w:hAnsi="Times New Roman"/>
          <w:rtl w:val="0"/>
          <w:lang w:val="en-US"/>
        </w:rPr>
        <w:t>The earliest MSS to include Apocryphal books is the Greek translation of the OT, called the Septuagint, or LXX, in the fourth century A.D.</w:t>
      </w:r>
      <w:r>
        <w:rPr>
          <w:rFonts w:ascii="Times New Roman" w:hAnsi="Times New Roman"/>
          <w:rtl w:val="0"/>
          <w:lang w:val="en-US"/>
        </w:rPr>
        <w:t xml:space="preserve"> While there are fifteen Apocryphal books listed below,</w:t>
      </w:r>
      <w:r>
        <w:rPr>
          <w:rFonts w:ascii="Times New Roman" w:hAnsi="Times New Roman"/>
          <w:rtl w:val="0"/>
          <w:lang w:val="en-US"/>
        </w:rPr>
        <w:t xml:space="preserve"> in the Roman Catholic Bible </w:t>
      </w:r>
      <w:r>
        <w:rPr>
          <w:rFonts w:ascii="Times New Roman" w:hAnsi="Times New Roman"/>
          <w:rtl w:val="0"/>
          <w:lang w:val="en-US"/>
        </w:rPr>
        <w:t xml:space="preserve">they number seven, </w:t>
      </w:r>
      <w:r>
        <w:rPr>
          <w:rFonts w:ascii="Times New Roman" w:hAnsi="Times New Roman"/>
          <w:rtl w:val="0"/>
          <w:lang w:val="en-US"/>
        </w:rPr>
        <w:t>thus making their Old Testament number 46 books</w:t>
      </w:r>
      <w:r>
        <w:rPr>
          <w:rFonts w:ascii="Times New Roman" w:hAnsi="Times New Roman"/>
          <w:rtl w:val="0"/>
          <w:lang w:val="en-US"/>
        </w:rPr>
        <w:t xml:space="preserve">. </w:t>
      </w:r>
      <w:r>
        <w:rPr>
          <w:rFonts w:ascii="Times New Roman" w:hAnsi="Times New Roman"/>
          <w:i w:val="1"/>
          <w:iCs w:val="1"/>
          <w:rtl w:val="0"/>
          <w:lang w:val="en-US"/>
        </w:rPr>
        <w:t>I and II Esdras</w:t>
      </w:r>
      <w:r>
        <w:rPr>
          <w:rFonts w:ascii="Times New Roman" w:hAnsi="Times New Roman"/>
          <w:rtl w:val="0"/>
          <w:lang w:val="en-US"/>
        </w:rPr>
        <w:t xml:space="preserve"> and </w:t>
      </w:r>
      <w:r>
        <w:rPr>
          <w:rFonts w:ascii="Times New Roman" w:hAnsi="Times New Roman"/>
          <w:i w:val="1"/>
          <w:iCs w:val="1"/>
          <w:rtl w:val="0"/>
          <w:lang w:val="en-US"/>
        </w:rPr>
        <w:t>The Prayer of Manasseh</w:t>
      </w:r>
      <w:r>
        <w:rPr>
          <w:rFonts w:ascii="Times New Roman" w:hAnsi="Times New Roman"/>
          <w:rtl w:val="0"/>
          <w:lang w:val="en-US"/>
        </w:rPr>
        <w:t xml:space="preserve"> are rejected and thus omitted (-3), and five others are </w:t>
      </w:r>
      <w:r>
        <w:rPr>
          <w:rFonts w:ascii="Times New Roman" w:hAnsi="Times New Roman"/>
          <w:rtl w:val="0"/>
          <w:lang w:val="en-US"/>
        </w:rPr>
        <w:t>absorbed</w:t>
      </w:r>
      <w:r>
        <w:rPr>
          <w:rFonts w:ascii="Times New Roman" w:hAnsi="Times New Roman"/>
          <w:rtl w:val="0"/>
          <w:lang w:val="en-US"/>
        </w:rPr>
        <w:t xml:space="preserve"> into other books (-5), thus 15-8=7</w:t>
      </w:r>
      <w:r>
        <w:rPr>
          <w:rFonts w:ascii="Times New Roman" w:hAnsi="Times New Roman"/>
          <w:rtl w:val="0"/>
          <w:lang w:val="en-US"/>
        </w:rPr>
        <w:t>.</w:t>
      </w:r>
      <w:r>
        <w:rPr>
          <w:rFonts w:ascii="Times New Roman" w:hAnsi="Times New Roman"/>
          <w:rtl w:val="0"/>
          <w:lang w:val="en-US"/>
        </w:rPr>
        <w:t xml:space="preserve"> See chart below.</w:t>
      </w:r>
    </w:p>
    <w:p>
      <w:pPr>
        <w:pStyle w:val="Default"/>
        <w:spacing w:before="0" w:line="240" w:lineRule="auto"/>
        <w:jc w:val="left"/>
        <w:rPr>
          <w:rFonts w:ascii="Times New Roman" w:cs="Times New Roman" w:hAnsi="Times New Roman" w:eastAsia="Times New Roman"/>
          <w:sz w:val="6"/>
          <w:szCs w:val="6"/>
          <w:lang w:val="en-US"/>
        </w:rPr>
      </w:pPr>
    </w:p>
    <w:p>
      <w:pPr>
        <w:pStyle w:val="Default"/>
        <w:spacing w:before="0" w:line="240" w:lineRule="auto"/>
        <w:jc w:val="left"/>
        <w:rPr>
          <w:rFonts w:ascii="Times New Roman" w:cs="Times New Roman" w:hAnsi="Times New Roman" w:eastAsia="Times New Roman"/>
          <w:spacing w:val="-1"/>
          <w:sz w:val="18"/>
          <w:szCs w:val="18"/>
          <w:lang w:val="en-US"/>
        </w:rPr>
      </w:pPr>
      <w:r>
        <w:rPr>
          <w:rFonts w:ascii="Times New Roman" w:hAnsi="Times New Roman"/>
          <w:rtl w:val="0"/>
          <w:lang w:val="en-US"/>
        </w:rPr>
        <w:t>Below is a listing of the Old Testament Apocrypha.</w:t>
      </w:r>
      <w:r>
        <w:rPr>
          <w:rFonts w:ascii="Times New Roman" w:hAnsi="Times New Roman"/>
          <w:rtl w:val="0"/>
          <w:lang w:val="en-US"/>
        </w:rPr>
        <w:t xml:space="preserve"> </w:t>
      </w:r>
      <w:r>
        <w:rPr>
          <w:rFonts w:ascii="Times New Roman" w:hAnsi="Times New Roman"/>
          <w:spacing w:val="-1"/>
          <w:sz w:val="18"/>
          <w:szCs w:val="18"/>
          <w:rtl w:val="0"/>
          <w:lang w:val="en-US"/>
        </w:rPr>
        <w:t xml:space="preserve">[Acronyms: </w:t>
      </w:r>
      <w:r>
        <w:rPr>
          <w:rFonts w:ascii="Times New Roman" w:hAnsi="Times New Roman" w:hint="default"/>
          <w:spacing w:val="-1"/>
          <w:sz w:val="18"/>
          <w:szCs w:val="18"/>
          <w:rtl w:val="0"/>
          <w:lang w:val="en-US"/>
        </w:rPr>
        <w:t>“</w:t>
      </w:r>
      <w:r>
        <w:rPr>
          <w:rFonts w:ascii="Times New Roman" w:hAnsi="Times New Roman"/>
          <w:spacing w:val="-1"/>
          <w:sz w:val="18"/>
          <w:szCs w:val="18"/>
          <w:rtl w:val="0"/>
          <w:lang w:val="en-US"/>
        </w:rPr>
        <w:t>RC</w:t>
      </w:r>
      <w:r>
        <w:rPr>
          <w:rFonts w:ascii="Times New Roman" w:hAnsi="Times New Roman" w:hint="default"/>
          <w:spacing w:val="-1"/>
          <w:sz w:val="18"/>
          <w:szCs w:val="18"/>
          <w:rtl w:val="0"/>
          <w:lang w:val="en-US"/>
        </w:rPr>
        <w:t xml:space="preserve">” </w:t>
      </w:r>
      <w:r>
        <w:rPr>
          <w:rFonts w:ascii="Times New Roman" w:hAnsi="Times New Roman"/>
          <w:spacing w:val="-1"/>
          <w:sz w:val="18"/>
          <w:szCs w:val="18"/>
          <w:rtl w:val="0"/>
          <w:lang w:val="en-US"/>
        </w:rPr>
        <w:t xml:space="preserve">- Roman Cath. </w:t>
      </w:r>
      <w:r>
        <w:rPr>
          <w:rFonts w:ascii="Times New Roman" w:hAnsi="Times New Roman"/>
          <w:spacing w:val="-1"/>
          <w:sz w:val="18"/>
          <w:szCs w:val="18"/>
          <w:rtl w:val="0"/>
          <w:lang w:val="en-US"/>
        </w:rPr>
        <w:t>Church</w:t>
      </w:r>
      <w:r>
        <w:rPr>
          <w:rFonts w:ascii="Times New Roman" w:hAnsi="Times New Roman"/>
          <w:spacing w:val="-1"/>
          <w:sz w:val="18"/>
          <w:szCs w:val="18"/>
          <w:rtl w:val="0"/>
          <w:lang w:val="en-US"/>
        </w:rPr>
        <w:t xml:space="preserve">; </w:t>
      </w:r>
      <w:r>
        <w:rPr>
          <w:rFonts w:ascii="Times New Roman" w:hAnsi="Times New Roman" w:hint="default"/>
          <w:spacing w:val="-1"/>
          <w:sz w:val="18"/>
          <w:szCs w:val="18"/>
          <w:rtl w:val="0"/>
          <w:lang w:val="en-US"/>
        </w:rPr>
        <w:t>“</w:t>
      </w:r>
      <w:r>
        <w:rPr>
          <w:rFonts w:ascii="Times New Roman" w:hAnsi="Times New Roman"/>
          <w:spacing w:val="-1"/>
          <w:sz w:val="18"/>
          <w:szCs w:val="18"/>
          <w:rtl w:val="0"/>
          <w:lang w:val="en-US"/>
        </w:rPr>
        <w:t>a</w:t>
      </w:r>
      <w:r>
        <w:rPr>
          <w:rFonts w:ascii="Times New Roman" w:hAnsi="Times New Roman" w:hint="default"/>
          <w:spacing w:val="-1"/>
          <w:sz w:val="18"/>
          <w:szCs w:val="18"/>
          <w:rtl w:val="0"/>
          <w:lang w:val="en-US"/>
        </w:rPr>
        <w:t xml:space="preserve">” </w:t>
      </w:r>
      <w:r>
        <w:rPr>
          <w:rFonts w:ascii="Times New Roman" w:hAnsi="Times New Roman"/>
          <w:spacing w:val="-1"/>
          <w:sz w:val="18"/>
          <w:szCs w:val="18"/>
          <w:rtl w:val="0"/>
          <w:lang w:val="en-US"/>
        </w:rPr>
        <w:t xml:space="preserve">- absorbed </w:t>
      </w:r>
      <w:r>
        <w:rPr>
          <w:rFonts w:ascii="Times New Roman" w:hAnsi="Times New Roman" w:hint="default"/>
          <w:spacing w:val="-1"/>
          <w:sz w:val="18"/>
          <w:szCs w:val="18"/>
          <w:rtl w:val="0"/>
          <w:lang w:val="en-US"/>
        </w:rPr>
        <w:t>“</w:t>
      </w:r>
      <w:r>
        <w:rPr>
          <w:rFonts w:ascii="Times New Roman" w:hAnsi="Times New Roman"/>
          <w:spacing w:val="-1"/>
          <w:sz w:val="18"/>
          <w:szCs w:val="18"/>
          <w:rtl w:val="0"/>
          <w:lang w:val="en-US"/>
        </w:rPr>
        <w:t>r</w:t>
      </w:r>
      <w:r>
        <w:rPr>
          <w:rFonts w:ascii="Times New Roman" w:hAnsi="Times New Roman" w:hint="default"/>
          <w:spacing w:val="-1"/>
          <w:sz w:val="18"/>
          <w:szCs w:val="18"/>
          <w:rtl w:val="0"/>
          <w:lang w:val="en-US"/>
        </w:rPr>
        <w:t xml:space="preserve">” </w:t>
      </w:r>
      <w:r>
        <w:rPr>
          <w:rFonts w:ascii="Times New Roman" w:hAnsi="Times New Roman"/>
          <w:spacing w:val="-1"/>
          <w:sz w:val="18"/>
          <w:szCs w:val="18"/>
          <w:rtl w:val="0"/>
          <w:lang w:val="en-US"/>
        </w:rPr>
        <w:t>-rejected]</w:t>
      </w:r>
    </w:p>
    <w:p>
      <w:pPr>
        <w:pStyle w:val="Default"/>
        <w:spacing w:before="0" w:line="240" w:lineRule="auto"/>
        <w:jc w:val="left"/>
        <w:rPr>
          <w:rFonts w:ascii="Times New Roman" w:cs="Times New Roman" w:hAnsi="Times New Roman" w:eastAsia="Times New Roman"/>
          <w:sz w:val="6"/>
          <w:szCs w:val="6"/>
          <w:lang w:val="en-US"/>
        </w:rPr>
        <w:sectPr>
          <w:headerReference w:type="default" r:id="rId4"/>
          <w:footerReference w:type="default" r:id="rId5"/>
          <w:pgSz w:w="12240" w:h="15840" w:orient="portrait"/>
          <w:pgMar w:top="1080" w:right="1080" w:bottom="720" w:left="1080" w:header="720" w:footer="864"/>
          <w:bidi w:val="0"/>
        </w:sectPr>
      </w:pPr>
      <w:r>
        <w:rPr>
          <w:rFonts w:ascii="Times New Roman" w:cs="Times New Roman" w:hAnsi="Times New Roman" w:eastAsia="Times New Roman"/>
          <w:sz w:val="6"/>
          <w:szCs w:val="6"/>
          <w:lang w:val="en-US"/>
        </w:rPr>
      </w:r>
    </w:p>
    <w:p>
      <w:pPr>
        <w:pStyle w:val="Default"/>
        <w:numPr>
          <w:ilvl w:val="0"/>
          <w:numId w:val="2"/>
        </w:numPr>
        <w:spacing w:before="0" w:line="240" w:lineRule="auto"/>
        <w:jc w:val="left"/>
        <w:rPr>
          <w:rFonts w:ascii="Times New Roman" w:hAnsi="Times New Roman"/>
          <w:sz w:val="18"/>
          <w:szCs w:val="18"/>
          <w:lang w:val="en-US"/>
        </w:rPr>
      </w:pPr>
      <w:r>
        <w:rPr>
          <w:rFonts w:ascii="Times New Roman" w:hAnsi="Times New Roman"/>
          <w:sz w:val="18"/>
          <w:szCs w:val="18"/>
          <w:rtl w:val="0"/>
          <w:lang w:val="en-US"/>
        </w:rPr>
        <w:t>The Wisdom of Solomon (c. 30 B.C.)</w:t>
      </w:r>
    </w:p>
    <w:p>
      <w:pPr>
        <w:pStyle w:val="Default"/>
        <w:numPr>
          <w:ilvl w:val="0"/>
          <w:numId w:val="2"/>
        </w:numPr>
        <w:spacing w:before="0" w:line="240" w:lineRule="auto"/>
        <w:jc w:val="left"/>
        <w:rPr>
          <w:rFonts w:ascii="Times New Roman" w:hAnsi="Times New Roman"/>
          <w:sz w:val="18"/>
          <w:szCs w:val="18"/>
          <w:lang w:val="en-US"/>
        </w:rPr>
      </w:pPr>
      <w:r>
        <w:rPr>
          <w:rFonts w:ascii="Times New Roman" w:hAnsi="Times New Roman"/>
          <w:sz w:val="18"/>
          <w:szCs w:val="18"/>
          <w:rtl w:val="0"/>
          <w:lang w:val="en-US"/>
        </w:rPr>
        <w:t>Ecclesiasticus (Sirach) (132 B.C.)</w:t>
      </w:r>
    </w:p>
    <w:p>
      <w:pPr>
        <w:pStyle w:val="Default"/>
        <w:numPr>
          <w:ilvl w:val="0"/>
          <w:numId w:val="2"/>
        </w:numPr>
        <w:spacing w:before="0" w:line="240" w:lineRule="auto"/>
        <w:jc w:val="left"/>
        <w:rPr>
          <w:rFonts w:ascii="Times New Roman" w:hAnsi="Times New Roman"/>
          <w:sz w:val="18"/>
          <w:szCs w:val="18"/>
          <w:lang w:val="en-US"/>
        </w:rPr>
      </w:pPr>
      <w:r>
        <w:rPr>
          <w:rFonts w:ascii="Times New Roman" w:hAnsi="Times New Roman"/>
          <w:sz w:val="18"/>
          <w:szCs w:val="18"/>
          <w:rtl w:val="0"/>
          <w:lang w:val="en-US"/>
        </w:rPr>
        <w:t>Tobit (c. 200 B.C.)</w:t>
      </w:r>
    </w:p>
    <w:p>
      <w:pPr>
        <w:pStyle w:val="Default"/>
        <w:numPr>
          <w:ilvl w:val="0"/>
          <w:numId w:val="2"/>
        </w:numPr>
        <w:spacing w:before="0" w:line="240" w:lineRule="auto"/>
        <w:jc w:val="left"/>
        <w:rPr>
          <w:rFonts w:ascii="Times New Roman" w:hAnsi="Times New Roman"/>
          <w:sz w:val="18"/>
          <w:szCs w:val="18"/>
          <w:lang w:val="en-US"/>
        </w:rPr>
      </w:pPr>
      <w:r>
        <w:rPr>
          <w:rFonts w:ascii="Times New Roman" w:hAnsi="Times New Roman"/>
          <w:sz w:val="18"/>
          <w:szCs w:val="18"/>
          <w:rtl w:val="0"/>
          <w:lang w:val="en-US"/>
        </w:rPr>
        <w:t>Judith (c. 150 B.C.)</w:t>
      </w:r>
    </w:p>
    <w:p>
      <w:pPr>
        <w:pStyle w:val="Default"/>
        <w:numPr>
          <w:ilvl w:val="0"/>
          <w:numId w:val="2"/>
        </w:numPr>
        <w:spacing w:before="0" w:line="240" w:lineRule="auto"/>
        <w:jc w:val="left"/>
        <w:rPr>
          <w:rFonts w:ascii="Times New Roman" w:hAnsi="Times New Roman"/>
          <w:sz w:val="18"/>
          <w:szCs w:val="18"/>
          <w:lang w:val="en-US"/>
        </w:rPr>
      </w:pPr>
      <w:r>
        <w:rPr>
          <w:rFonts w:ascii="Times New Roman" w:hAnsi="Times New Roman"/>
          <w:sz w:val="18"/>
          <w:szCs w:val="18"/>
          <w:rtl w:val="0"/>
          <w:lang w:val="en-US"/>
        </w:rPr>
        <w:t>I Maccabees (c. 110 B.C.)</w:t>
      </w:r>
    </w:p>
    <w:p>
      <w:pPr>
        <w:pStyle w:val="Default"/>
        <w:numPr>
          <w:ilvl w:val="0"/>
          <w:numId w:val="2"/>
        </w:numPr>
        <w:spacing w:before="0" w:line="240" w:lineRule="auto"/>
        <w:jc w:val="left"/>
        <w:rPr>
          <w:rFonts w:ascii="Times New Roman" w:hAnsi="Times New Roman"/>
          <w:sz w:val="18"/>
          <w:szCs w:val="18"/>
          <w:lang w:val="en-US"/>
        </w:rPr>
      </w:pPr>
      <w:r>
        <w:rPr>
          <w:rFonts w:ascii="Times New Roman" w:hAnsi="Times New Roman"/>
          <w:sz w:val="18"/>
          <w:szCs w:val="18"/>
          <w:rtl w:val="0"/>
          <w:lang w:val="en-US"/>
        </w:rPr>
        <w:t>II Maccabees (c. 110-70 B.C.)</w:t>
      </w:r>
    </w:p>
    <w:p>
      <w:pPr>
        <w:pStyle w:val="Default"/>
        <w:numPr>
          <w:ilvl w:val="0"/>
          <w:numId w:val="2"/>
        </w:numPr>
        <w:spacing w:before="0" w:line="240" w:lineRule="auto"/>
        <w:jc w:val="left"/>
        <w:rPr>
          <w:rFonts w:ascii="Times New Roman" w:hAnsi="Times New Roman"/>
          <w:sz w:val="18"/>
          <w:szCs w:val="18"/>
          <w:lang w:val="en-US"/>
        </w:rPr>
      </w:pPr>
      <w:r>
        <w:rPr>
          <w:rFonts w:ascii="Times New Roman" w:hAnsi="Times New Roman"/>
          <w:sz w:val="18"/>
          <w:szCs w:val="18"/>
          <w:rtl w:val="0"/>
          <w:lang w:val="en-US"/>
        </w:rPr>
        <w:t>Baruch (c. 150-50 B.C.)</w:t>
      </w:r>
    </w:p>
    <w:p>
      <w:pPr>
        <w:pStyle w:val="Default"/>
        <w:numPr>
          <w:ilvl w:val="0"/>
          <w:numId w:val="2"/>
        </w:numPr>
        <w:spacing w:before="0" w:line="240" w:lineRule="auto"/>
        <w:jc w:val="left"/>
        <w:rPr>
          <w:rFonts w:ascii="Times New Roman" w:hAnsi="Times New Roman"/>
          <w:sz w:val="18"/>
          <w:szCs w:val="18"/>
          <w:lang w:val="en-US"/>
        </w:rPr>
      </w:pPr>
      <w:r>
        <w:rPr>
          <w:rFonts w:ascii="Times New Roman" w:hAnsi="Times New Roman"/>
          <w:sz w:val="18"/>
          <w:szCs w:val="18"/>
          <w:rtl w:val="0"/>
          <w:lang w:val="en-US"/>
        </w:rPr>
        <w:t>Prayer of Manasseh (second or first century B.C.)</w:t>
      </w:r>
      <w:r>
        <w:rPr>
          <w:rFonts w:ascii="Times New Roman" w:hAnsi="Times New Roman"/>
          <w:sz w:val="18"/>
          <w:szCs w:val="18"/>
          <w:rtl w:val="0"/>
          <w:lang w:val="en-US"/>
        </w:rPr>
        <w:t xml:space="preserve"> [r]</w:t>
      </w:r>
    </w:p>
    <w:p>
      <w:pPr>
        <w:pStyle w:val="Default"/>
        <w:numPr>
          <w:ilvl w:val="0"/>
          <w:numId w:val="2"/>
        </w:numPr>
        <w:spacing w:before="0" w:line="240" w:lineRule="auto"/>
        <w:jc w:val="left"/>
        <w:rPr>
          <w:rFonts w:ascii="Times New Roman" w:hAnsi="Times New Roman"/>
          <w:sz w:val="18"/>
          <w:szCs w:val="18"/>
          <w:lang w:val="en-US"/>
        </w:rPr>
      </w:pPr>
      <w:r>
        <w:rPr>
          <w:rFonts w:ascii="Times New Roman" w:hAnsi="Times New Roman"/>
          <w:sz w:val="18"/>
          <w:szCs w:val="18"/>
          <w:rtl w:val="0"/>
          <w:lang w:val="en-US"/>
        </w:rPr>
        <w:t>I Esdras (c. 150-100 B.C.)</w:t>
      </w:r>
      <w:r>
        <w:rPr>
          <w:rFonts w:ascii="Times New Roman" w:hAnsi="Times New Roman"/>
          <w:sz w:val="18"/>
          <w:szCs w:val="18"/>
          <w:rtl w:val="0"/>
          <w:lang w:val="en-US"/>
        </w:rPr>
        <w:t xml:space="preserve"> [r]</w:t>
      </w:r>
    </w:p>
    <w:p>
      <w:pPr>
        <w:pStyle w:val="Default"/>
        <w:numPr>
          <w:ilvl w:val="0"/>
          <w:numId w:val="2"/>
        </w:numPr>
        <w:spacing w:before="0" w:line="240" w:lineRule="auto"/>
        <w:jc w:val="left"/>
        <w:rPr>
          <w:rFonts w:ascii="Times New Roman" w:hAnsi="Times New Roman"/>
          <w:sz w:val="18"/>
          <w:szCs w:val="18"/>
          <w:lang w:val="en-US"/>
        </w:rPr>
      </w:pPr>
      <w:r>
        <w:rPr>
          <w:rFonts w:ascii="Times New Roman" w:hAnsi="Times New Roman"/>
          <w:sz w:val="18"/>
          <w:szCs w:val="18"/>
          <w:rtl w:val="0"/>
          <w:lang w:val="en-US"/>
        </w:rPr>
        <w:t xml:space="preserve">II Esdras (c. </w:t>
      </w:r>
      <w:r>
        <w:rPr>
          <w:rFonts w:ascii="Times New Roman" w:hAnsi="Times New Roman"/>
          <w:smallCaps w:val="1"/>
          <w:sz w:val="18"/>
          <w:szCs w:val="18"/>
          <w:rtl w:val="0"/>
          <w:lang w:val="en-US"/>
        </w:rPr>
        <w:t>A.D.</w:t>
      </w:r>
      <w:r>
        <w:rPr>
          <w:rFonts w:ascii="Times New Roman" w:hAnsi="Times New Roman"/>
          <w:sz w:val="18"/>
          <w:szCs w:val="18"/>
          <w:rtl w:val="0"/>
          <w:lang w:val="en-US"/>
        </w:rPr>
        <w:t xml:space="preserve"> 100)</w:t>
      </w:r>
      <w:r>
        <w:rPr>
          <w:rFonts w:ascii="Times New Roman" w:hAnsi="Times New Roman"/>
          <w:sz w:val="18"/>
          <w:szCs w:val="18"/>
          <w:rtl w:val="0"/>
          <w:lang w:val="en-US"/>
        </w:rPr>
        <w:t xml:space="preserve"> [r]</w:t>
      </w:r>
    </w:p>
    <w:p>
      <w:pPr>
        <w:pStyle w:val="Default"/>
        <w:numPr>
          <w:ilvl w:val="0"/>
          <w:numId w:val="2"/>
        </w:numPr>
        <w:spacing w:before="0" w:line="240" w:lineRule="auto"/>
        <w:jc w:val="left"/>
        <w:rPr>
          <w:rFonts w:ascii="Times New Roman" w:hAnsi="Times New Roman"/>
          <w:sz w:val="18"/>
          <w:szCs w:val="18"/>
          <w:lang w:val="en-US"/>
        </w:rPr>
      </w:pPr>
      <w:r>
        <w:rPr>
          <w:rFonts w:ascii="Times New Roman" w:hAnsi="Times New Roman"/>
          <w:sz w:val="18"/>
          <w:szCs w:val="18"/>
          <w:rtl w:val="0"/>
          <w:lang w:val="en-US"/>
        </w:rPr>
        <w:t>Letter of Jeremiah (c. 300-100 B.C.)</w:t>
      </w:r>
      <w:r>
        <w:rPr>
          <w:rFonts w:ascii="Times New Roman" w:hAnsi="Times New Roman"/>
          <w:sz w:val="18"/>
          <w:szCs w:val="18"/>
          <w:rtl w:val="0"/>
          <w:lang w:val="en-US"/>
        </w:rPr>
        <w:t xml:space="preserve"> [a in Baruch]</w:t>
      </w:r>
    </w:p>
    <w:p>
      <w:pPr>
        <w:pStyle w:val="Default"/>
        <w:numPr>
          <w:ilvl w:val="0"/>
          <w:numId w:val="2"/>
        </w:numPr>
        <w:spacing w:before="0" w:line="240" w:lineRule="auto"/>
        <w:jc w:val="left"/>
        <w:rPr>
          <w:rFonts w:ascii="Times New Roman" w:hAnsi="Times New Roman"/>
          <w:sz w:val="18"/>
          <w:szCs w:val="18"/>
          <w:lang w:val="en-US"/>
        </w:rPr>
      </w:pPr>
      <w:r>
        <w:rPr>
          <w:rFonts w:ascii="Times New Roman" w:hAnsi="Times New Roman"/>
          <w:sz w:val="18"/>
          <w:szCs w:val="18"/>
          <w:rtl w:val="0"/>
          <w:lang w:val="en-US"/>
        </w:rPr>
        <w:t>Additions to Esther (140-130 B.C.)</w:t>
      </w:r>
      <w:r>
        <w:rPr>
          <w:rFonts w:ascii="Times New Roman" w:hAnsi="Times New Roman"/>
          <w:sz w:val="18"/>
          <w:szCs w:val="18"/>
          <w:rtl w:val="0"/>
          <w:lang w:val="en-US"/>
        </w:rPr>
        <w:t xml:space="preserve"> [a in Esther]</w:t>
      </w:r>
    </w:p>
    <w:p>
      <w:pPr>
        <w:pStyle w:val="Default"/>
        <w:numPr>
          <w:ilvl w:val="0"/>
          <w:numId w:val="2"/>
        </w:numPr>
        <w:spacing w:before="0" w:line="240" w:lineRule="auto"/>
        <w:jc w:val="left"/>
        <w:rPr>
          <w:rFonts w:ascii="Times New Roman" w:hAnsi="Times New Roman"/>
          <w:sz w:val="18"/>
          <w:szCs w:val="18"/>
          <w:lang w:val="en-US"/>
        </w:rPr>
      </w:pPr>
      <w:r>
        <w:rPr>
          <w:rFonts w:ascii="Times New Roman" w:hAnsi="Times New Roman"/>
          <w:sz w:val="18"/>
          <w:szCs w:val="18"/>
          <w:rtl w:val="0"/>
          <w:lang w:val="en-US"/>
        </w:rPr>
        <w:t>Prayer of Azariah (second or first century B.C.) (Song of Three Young Men</w:t>
      </w:r>
      <w:r>
        <w:rPr>
          <w:rFonts w:ascii="Times New Roman" w:hAnsi="Times New Roman"/>
          <w:sz w:val="18"/>
          <w:szCs w:val="18"/>
          <w:rtl w:val="0"/>
          <w:lang w:val="en-US"/>
        </w:rPr>
        <w:t>, or Children</w:t>
      </w:r>
      <w:r>
        <w:rPr>
          <w:rFonts w:ascii="Times New Roman" w:hAnsi="Times New Roman"/>
          <w:sz w:val="18"/>
          <w:szCs w:val="18"/>
          <w:rtl w:val="0"/>
          <w:lang w:val="en-US"/>
        </w:rPr>
        <w:t>)</w:t>
      </w:r>
      <w:r>
        <w:rPr>
          <w:rFonts w:ascii="Times New Roman" w:hAnsi="Times New Roman"/>
          <w:sz w:val="18"/>
          <w:szCs w:val="18"/>
          <w:rtl w:val="0"/>
          <w:lang w:val="en-US"/>
        </w:rPr>
        <w:t xml:space="preserve"> [a in Daniel]</w:t>
      </w:r>
    </w:p>
    <w:p>
      <w:pPr>
        <w:pStyle w:val="Default"/>
        <w:numPr>
          <w:ilvl w:val="0"/>
          <w:numId w:val="2"/>
        </w:numPr>
        <w:spacing w:before="0" w:line="240" w:lineRule="auto"/>
        <w:jc w:val="left"/>
        <w:rPr>
          <w:rFonts w:ascii="Times New Roman" w:hAnsi="Times New Roman"/>
          <w:sz w:val="18"/>
          <w:szCs w:val="18"/>
          <w:lang w:val="en-US"/>
        </w:rPr>
      </w:pPr>
      <w:r>
        <w:rPr>
          <w:rFonts w:ascii="Times New Roman" w:hAnsi="Times New Roman"/>
          <w:sz w:val="18"/>
          <w:szCs w:val="18"/>
          <w:rtl w:val="0"/>
          <w:lang w:val="en-US"/>
        </w:rPr>
        <w:t>Susanna (second or first century B.C.)</w:t>
      </w:r>
      <w:r>
        <w:rPr>
          <w:rFonts w:ascii="Times New Roman" w:hAnsi="Times New Roman"/>
          <w:sz w:val="18"/>
          <w:szCs w:val="18"/>
          <w:rtl w:val="0"/>
          <w:lang w:val="en-US"/>
        </w:rPr>
        <w:t xml:space="preserve"> </w:t>
      </w:r>
      <w:r>
        <w:rPr>
          <w:rFonts w:ascii="Times New Roman" w:hAnsi="Times New Roman"/>
          <w:sz w:val="18"/>
          <w:szCs w:val="18"/>
          <w:rtl w:val="0"/>
          <w:lang w:val="en-US"/>
        </w:rPr>
        <w:t>[a in Daniel]</w:t>
      </w:r>
    </w:p>
    <w:p>
      <w:pPr>
        <w:pStyle w:val="Default"/>
        <w:numPr>
          <w:ilvl w:val="0"/>
          <w:numId w:val="2"/>
        </w:numPr>
        <w:spacing w:before="0" w:line="240" w:lineRule="auto"/>
        <w:jc w:val="left"/>
        <w:rPr>
          <w:rFonts w:ascii="Times New Roman" w:hAnsi="Times New Roman"/>
          <w:sz w:val="18"/>
          <w:szCs w:val="18"/>
          <w:lang w:val="en-US"/>
        </w:rPr>
        <w:sectPr>
          <w:type w:val="continuous"/>
          <w:pgSz w:w="12240" w:h="15840" w:orient="portrait"/>
          <w:pgMar w:top="1080" w:right="1080" w:bottom="720" w:left="1080" w:header="720" w:footer="864"/>
          <w:cols w:space="504" w:num="2" w:equalWidth="1"/>
          <w:bidi w:val="0"/>
        </w:sectPr>
      </w:pPr>
      <w:r>
        <w:rPr>
          <w:rFonts w:ascii="Times New Roman" w:hAnsi="Times New Roman"/>
          <w:sz w:val="18"/>
          <w:szCs w:val="18"/>
          <w:rtl w:val="0"/>
          <w:lang w:val="en-US"/>
        </w:rPr>
        <w:t>Bel and the Dragon (c. 100 B.C.)</w:t>
      </w:r>
      <w:r>
        <w:rPr>
          <w:rFonts w:ascii="Times New Roman" w:hAnsi="Times New Roman"/>
          <w:sz w:val="18"/>
          <w:szCs w:val="18"/>
          <w:rtl w:val="0"/>
          <w:lang w:val="en-US"/>
        </w:rPr>
        <w:t xml:space="preserve"> </w:t>
      </w:r>
      <w:r>
        <w:rPr>
          <w:rFonts w:ascii="Times New Roman" w:hAnsi="Times New Roman"/>
          <w:sz w:val="18"/>
          <w:szCs w:val="18"/>
          <w:rtl w:val="0"/>
          <w:lang w:val="en-US"/>
        </w:rPr>
        <w:t>[a in Daniel]</w:t>
      </w:r>
      <w:r>
        <w:rPr>
          <w:rFonts w:ascii="Times New Roman" w:cs="Times New Roman" w:hAnsi="Times New Roman" w:eastAsia="Times New Roman"/>
          <w:sz w:val="18"/>
          <w:szCs w:val="18"/>
          <w:lang w:val="en-US"/>
        </w:rPr>
      </w:r>
    </w:p>
    <w:p>
      <w:pPr>
        <w:pStyle w:val="Default"/>
        <w:spacing w:before="0" w:line="240" w:lineRule="auto"/>
        <w:jc w:val="left"/>
        <w:rPr>
          <w:rFonts w:ascii="Times New Roman" w:cs="Times New Roman" w:hAnsi="Times New Roman" w:eastAsia="Times New Roman"/>
          <w:lang w:val="en-US"/>
        </w:rPr>
      </w:pPr>
    </w:p>
    <w:p>
      <w:pPr>
        <w:pStyle w:val="Default"/>
        <w:spacing w:before="0" w:line="240" w:lineRule="auto"/>
        <w:jc w:val="left"/>
        <w:rPr>
          <w:rFonts w:ascii="Times New Roman" w:cs="Times New Roman" w:hAnsi="Times New Roman" w:eastAsia="Times New Roman"/>
          <w:sz w:val="20"/>
          <w:szCs w:val="20"/>
          <w:lang w:val="en-US"/>
        </w:rPr>
      </w:pPr>
      <w:r>
        <w:rPr>
          <w:rFonts w:ascii="Times New Roman" w:hAnsi="Times New Roman"/>
          <w:b w:val="1"/>
          <w:bCs w:val="1"/>
          <w:sz w:val="20"/>
          <w:szCs w:val="20"/>
          <w:u w:val="single"/>
          <w:rtl w:val="0"/>
          <w:lang w:val="en-US"/>
        </w:rPr>
        <w:t>Major Bible versions without the Apocrypha</w:t>
      </w:r>
      <w:r>
        <w:rPr>
          <w:rFonts w:ascii="Times New Roman" w:hAnsi="Times New Roman"/>
          <w:sz w:val="20"/>
          <w:szCs w:val="20"/>
          <w:rtl w:val="0"/>
          <w:lang w:val="en-US"/>
        </w:rPr>
        <w:t xml:space="preserve"> in </w:t>
      </w:r>
      <w:r>
        <w:rPr>
          <w:rFonts w:ascii="Times New Roman" w:hAnsi="Times New Roman"/>
          <w:b w:val="1"/>
          <w:bCs w:val="1"/>
          <w:sz w:val="20"/>
          <w:szCs w:val="20"/>
          <w:rtl w:val="0"/>
          <w:lang w:val="en-US"/>
        </w:rPr>
        <w:t>standard</w:t>
      </w:r>
      <w:r>
        <w:rPr>
          <w:rFonts w:ascii="Times New Roman" w:hAnsi="Times New Roman"/>
          <w:sz w:val="20"/>
          <w:szCs w:val="20"/>
          <w:rtl w:val="0"/>
          <w:lang w:val="en-US"/>
        </w:rPr>
        <w:t xml:space="preserve"> editions</w:t>
      </w:r>
      <w:r>
        <w:rPr>
          <w:rFonts w:ascii="Times New Roman" w:hAnsi="Times New Roman"/>
          <w:sz w:val="20"/>
          <w:szCs w:val="20"/>
          <w:rtl w:val="0"/>
          <w:lang w:val="en-US"/>
        </w:rPr>
        <w:t xml:space="preserve"> (some of these will have special editions with the Apocrypha)</w:t>
      </w:r>
    </w:p>
    <w:p>
      <w:pPr>
        <w:pStyle w:val="Default"/>
        <w:spacing w:before="0" w:line="240" w:lineRule="auto"/>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These are usually Protestant translations, reflecting the Protestant canon of 66 books (39 Old Testament + 27 New Testament):</w:t>
      </w:r>
    </w:p>
    <w:p>
      <w:pPr>
        <w:pStyle w:val="Default"/>
        <w:spacing w:before="60" w:line="240" w:lineRule="auto"/>
        <w:jc w:val="left"/>
        <w:rPr>
          <w:rFonts w:ascii="Times New Roman" w:cs="Times New Roman" w:hAnsi="Times New Roman" w:eastAsia="Times New Roman"/>
          <w:sz w:val="20"/>
          <w:szCs w:val="20"/>
          <w:lang w:val="en-US"/>
        </w:rPr>
      </w:pPr>
      <w:r>
        <w:rPr>
          <w:rFonts w:ascii="Times New Roman" w:hAnsi="Times New Roman"/>
          <w:b w:val="1"/>
          <w:bCs w:val="1"/>
          <w:sz w:val="20"/>
          <w:szCs w:val="20"/>
          <w:rtl w:val="0"/>
          <w:lang w:val="en-US"/>
        </w:rPr>
        <w:t>King James Version (KJV</w:t>
      </w:r>
      <w:r>
        <w:rPr>
          <w:rFonts w:ascii="Times New Roman" w:hAnsi="Times New Roman"/>
          <w:sz w:val="20"/>
          <w:szCs w:val="20"/>
          <w:rtl w:val="0"/>
          <w:lang w:val="en-US"/>
        </w:rPr>
        <w:t>)</w:t>
      </w:r>
    </w:p>
    <w:p>
      <w:pPr>
        <w:pStyle w:val="Default"/>
        <w:spacing w:before="0" w:line="240" w:lineRule="auto"/>
        <w:ind w:left="360"/>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 xml:space="preserve">Note: </w:t>
      </w:r>
      <w:r>
        <w:rPr>
          <w:rFonts w:ascii="Times New Roman" w:hAnsi="Times New Roman"/>
          <w:sz w:val="20"/>
          <w:szCs w:val="20"/>
          <w:rtl w:val="0"/>
          <w:lang w:val="en-US"/>
        </w:rPr>
        <w:t>S</w:t>
      </w:r>
      <w:r>
        <w:rPr>
          <w:rFonts w:ascii="Times New Roman" w:hAnsi="Times New Roman"/>
          <w:sz w:val="20"/>
          <w:szCs w:val="20"/>
          <w:rtl w:val="0"/>
          <w:lang w:val="en-US"/>
        </w:rPr>
        <w:t xml:space="preserve">tandard editions used today do not include the Apocrypha </w:t>
      </w:r>
      <w:r>
        <w:rPr>
          <w:rFonts w:ascii="Times New Roman" w:hAnsi="Times New Roman" w:hint="default"/>
          <w:sz w:val="20"/>
          <w:szCs w:val="20"/>
          <w:rtl w:val="0"/>
          <w:lang w:val="en-US"/>
        </w:rPr>
        <w:t>—</w:t>
      </w:r>
      <w:r>
        <w:rPr>
          <w:rFonts w:ascii="Times New Roman" w:hAnsi="Times New Roman"/>
          <w:sz w:val="20"/>
          <w:szCs w:val="20"/>
          <w:rtl w:val="0"/>
          <w:lang w:val="en-US"/>
        </w:rPr>
        <w:t xml:space="preserve">The </w:t>
      </w:r>
      <w:r>
        <w:rPr>
          <w:rFonts w:ascii="Times New Roman" w:hAnsi="Times New Roman"/>
          <w:i w:val="1"/>
          <w:iCs w:val="1"/>
          <w:sz w:val="20"/>
          <w:szCs w:val="20"/>
          <w:rtl w:val="0"/>
          <w:lang w:val="en-US"/>
        </w:rPr>
        <w:t>original 1611</w:t>
      </w:r>
      <w:r>
        <w:rPr>
          <w:rFonts w:ascii="Times New Roman" w:hAnsi="Times New Roman"/>
          <w:sz w:val="20"/>
          <w:szCs w:val="20"/>
          <w:rtl w:val="0"/>
          <w:lang w:val="en-US"/>
        </w:rPr>
        <w:t xml:space="preserve"> KJV did include the Apocrypha in a </w:t>
      </w:r>
      <w:r>
        <w:rPr>
          <w:rFonts w:ascii="Times New Roman" w:hAnsi="Times New Roman"/>
          <w:i w:val="1"/>
          <w:iCs w:val="1"/>
          <w:sz w:val="20"/>
          <w:szCs w:val="20"/>
          <w:rtl w:val="0"/>
          <w:lang w:val="en-US"/>
        </w:rPr>
        <w:t>separate section</w:t>
      </w:r>
      <w:r>
        <w:rPr>
          <w:rFonts w:ascii="Times New Roman" w:hAnsi="Times New Roman"/>
          <w:sz w:val="20"/>
          <w:szCs w:val="20"/>
          <w:rtl w:val="0"/>
          <w:lang w:val="en-US"/>
        </w:rPr>
        <w:t>.</w:t>
      </w:r>
      <w:r>
        <w:rPr>
          <w:rFonts w:ascii="Times New Roman" w:hAnsi="Times New Roman"/>
          <w:sz w:val="20"/>
          <w:szCs w:val="20"/>
          <w:rtl w:val="0"/>
          <w:lang w:val="en-US"/>
        </w:rPr>
        <w:t xml:space="preserve"> </w:t>
      </w:r>
    </w:p>
    <w:p>
      <w:pPr>
        <w:pStyle w:val="Default"/>
        <w:spacing w:before="0" w:line="240" w:lineRule="auto"/>
        <w:ind w:left="360"/>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w:t>
      </w:r>
      <w:r>
        <w:rPr>
          <w:rFonts w:ascii="Times New Roman" w:hAnsi="Times New Roman"/>
          <w:sz w:val="20"/>
          <w:szCs w:val="20"/>
          <w:rtl w:val="0"/>
          <w:lang w:val="en-US"/>
        </w:rPr>
        <w:t>The Apocrypha was included in the original 1611 King James Version (KJV), placed in a separate section between the Old and New Testaments (as was common in many Protestant Bibles of the time).</w:t>
      </w:r>
      <w:r>
        <w:rPr>
          <w:rFonts w:ascii="Times New Roman" w:hAnsi="Times New Roman"/>
          <w:sz w:val="20"/>
          <w:szCs w:val="20"/>
          <w:rtl w:val="0"/>
          <w:lang w:val="en-US"/>
        </w:rPr>
        <w:t xml:space="preserve"> </w:t>
      </w:r>
      <w:r>
        <w:rPr>
          <w:rFonts w:ascii="Times New Roman" w:hAnsi="Times New Roman"/>
          <w:sz w:val="20"/>
          <w:szCs w:val="20"/>
          <w:rtl w:val="0"/>
          <w:lang w:val="en-US"/>
        </w:rPr>
        <w:t xml:space="preserve">It was formally </w:t>
      </w:r>
      <w:r>
        <w:rPr>
          <w:rFonts w:ascii="Times New Roman" w:hAnsi="Times New Roman"/>
          <w:b w:val="1"/>
          <w:bCs w:val="1"/>
          <w:sz w:val="20"/>
          <w:szCs w:val="20"/>
          <w:rtl w:val="0"/>
          <w:lang w:val="en-US"/>
        </w:rPr>
        <w:t>removed from most editions of the KJV around 1826</w:t>
      </w:r>
      <w:r>
        <w:rPr>
          <w:rFonts w:ascii="Times New Roman" w:hAnsi="Times New Roman"/>
          <w:sz w:val="20"/>
          <w:szCs w:val="20"/>
          <w:rtl w:val="0"/>
          <w:lang w:val="en-US"/>
        </w:rPr>
        <w:t>. Here</w:t>
      </w:r>
      <w:r>
        <w:rPr>
          <w:rFonts w:ascii="Times New Roman" w:hAnsi="Times New Roman" w:hint="default"/>
          <w:sz w:val="20"/>
          <w:szCs w:val="20"/>
          <w:rtl w:val="0"/>
          <w:lang w:val="en-US"/>
        </w:rPr>
        <w:t>’</w:t>
      </w:r>
      <w:r>
        <w:rPr>
          <w:rFonts w:ascii="Times New Roman" w:hAnsi="Times New Roman"/>
          <w:sz w:val="20"/>
          <w:szCs w:val="20"/>
          <w:rtl w:val="0"/>
          <w:lang w:val="en-US"/>
        </w:rPr>
        <w:t>s why and how this happened:</w:t>
      </w:r>
      <w:r>
        <w:rPr>
          <w:rFonts w:ascii="Times New Roman" w:hAnsi="Times New Roman" w:hint="default"/>
          <w:sz w:val="20"/>
          <w:szCs w:val="20"/>
          <w:rtl w:val="0"/>
          <w:lang w:val="en-US"/>
        </w:rPr>
        <w:t xml:space="preserve"> …</w:t>
      </w:r>
    </w:p>
    <w:p>
      <w:pPr>
        <w:pStyle w:val="Default"/>
        <w:numPr>
          <w:ilvl w:val="0"/>
          <w:numId w:val="4"/>
        </w:numPr>
        <w:spacing w:before="0" w:line="240" w:lineRule="auto"/>
        <w:jc w:val="left"/>
        <w:rPr>
          <w:rFonts w:ascii="Times New Roman" w:hAnsi="Times New Roman"/>
          <w:sz w:val="20"/>
          <w:szCs w:val="20"/>
          <w:lang w:val="en-US"/>
        </w:rPr>
      </w:pPr>
      <w:r>
        <w:rPr>
          <w:rFonts w:ascii="Times New Roman" w:hAnsi="Times New Roman"/>
          <w:b w:val="1"/>
          <w:bCs w:val="1"/>
          <w:sz w:val="20"/>
          <w:szCs w:val="20"/>
          <w:rtl w:val="0"/>
          <w:lang w:val="en-US"/>
        </w:rPr>
        <w:t>1611</w:t>
      </w:r>
      <w:r>
        <w:rPr>
          <w:rFonts w:ascii="Times New Roman" w:hAnsi="Times New Roman"/>
          <w:sz w:val="20"/>
          <w:szCs w:val="20"/>
          <w:rtl w:val="0"/>
          <w:lang w:val="en-US"/>
        </w:rPr>
        <w:t>: Original KJV includes the Apocrypha.</w:t>
      </w:r>
    </w:p>
    <w:p>
      <w:pPr>
        <w:pStyle w:val="Default"/>
        <w:numPr>
          <w:ilvl w:val="0"/>
          <w:numId w:val="4"/>
        </w:numPr>
        <w:spacing w:before="0" w:line="240" w:lineRule="auto"/>
        <w:jc w:val="left"/>
        <w:rPr>
          <w:rFonts w:ascii="Times New Roman" w:hAnsi="Times New Roman"/>
          <w:sz w:val="20"/>
          <w:szCs w:val="20"/>
          <w:lang w:val="en-US"/>
        </w:rPr>
      </w:pPr>
      <w:r>
        <w:rPr>
          <w:rFonts w:ascii="Times New Roman" w:hAnsi="Times New Roman"/>
          <w:b w:val="1"/>
          <w:bCs w:val="1"/>
          <w:sz w:val="20"/>
          <w:szCs w:val="20"/>
          <w:rtl w:val="0"/>
          <w:lang w:val="en-US"/>
        </w:rPr>
        <w:t>17th</w:t>
      </w:r>
      <w:r>
        <w:rPr>
          <w:rFonts w:ascii="Times New Roman" w:hAnsi="Times New Roman" w:hint="default"/>
          <w:b w:val="1"/>
          <w:bCs w:val="1"/>
          <w:sz w:val="20"/>
          <w:szCs w:val="20"/>
          <w:rtl w:val="0"/>
          <w:lang w:val="en-US"/>
        </w:rPr>
        <w:t>–</w:t>
      </w:r>
      <w:r>
        <w:rPr>
          <w:rFonts w:ascii="Times New Roman" w:hAnsi="Times New Roman"/>
          <w:b w:val="1"/>
          <w:bCs w:val="1"/>
          <w:sz w:val="20"/>
          <w:szCs w:val="20"/>
          <w:rtl w:val="0"/>
          <w:lang w:val="en-US"/>
        </w:rPr>
        <w:t>18th</w:t>
      </w:r>
      <w:r>
        <w:rPr>
          <w:rFonts w:ascii="Times New Roman" w:hAnsi="Times New Roman"/>
          <w:sz w:val="20"/>
          <w:szCs w:val="20"/>
          <w:rtl w:val="0"/>
          <w:lang w:val="en-US"/>
        </w:rPr>
        <w:t xml:space="preserve"> centuries: Many English Bibles, including the KJV, continued to print the Apocrypha, though </w:t>
      </w:r>
      <w:r>
        <w:rPr>
          <w:rFonts w:ascii="Times New Roman" w:hAnsi="Times New Roman"/>
          <w:b w:val="1"/>
          <w:bCs w:val="1"/>
          <w:sz w:val="20"/>
          <w:szCs w:val="20"/>
          <w:rtl w:val="0"/>
          <w:lang w:val="en-US"/>
        </w:rPr>
        <w:t>always in a separate section</w:t>
      </w:r>
      <w:r>
        <w:rPr>
          <w:rFonts w:ascii="Times New Roman" w:hAnsi="Times New Roman"/>
          <w:sz w:val="20"/>
          <w:szCs w:val="20"/>
          <w:rtl w:val="0"/>
          <w:lang w:val="en-US"/>
        </w:rPr>
        <w:t xml:space="preserve">, and generally </w:t>
      </w:r>
      <w:r>
        <w:rPr>
          <w:rFonts w:ascii="Times New Roman" w:hAnsi="Times New Roman"/>
          <w:b w:val="1"/>
          <w:bCs w:val="1"/>
          <w:sz w:val="20"/>
          <w:szCs w:val="20"/>
          <w:rtl w:val="0"/>
          <w:lang w:val="en-US"/>
        </w:rPr>
        <w:t>considered them useful for "instruction of manners" but not as part of canonical Scripture</w:t>
      </w:r>
      <w:r>
        <w:rPr>
          <w:rFonts w:ascii="Times New Roman" w:hAnsi="Times New Roman"/>
          <w:sz w:val="20"/>
          <w:szCs w:val="20"/>
          <w:rtl w:val="0"/>
          <w:lang w:val="en-US"/>
        </w:rPr>
        <w:t>.</w:t>
      </w:r>
    </w:p>
    <w:p>
      <w:pPr>
        <w:pStyle w:val="Default"/>
        <w:numPr>
          <w:ilvl w:val="0"/>
          <w:numId w:val="4"/>
        </w:numPr>
        <w:spacing w:before="0" w:line="240" w:lineRule="auto"/>
        <w:jc w:val="left"/>
        <w:rPr>
          <w:rFonts w:ascii="Times New Roman" w:hAnsi="Times New Roman"/>
          <w:sz w:val="20"/>
          <w:szCs w:val="20"/>
          <w:lang w:val="en-US"/>
        </w:rPr>
      </w:pPr>
      <w:r>
        <w:rPr>
          <w:rFonts w:ascii="Times New Roman" w:hAnsi="Times New Roman"/>
          <w:b w:val="1"/>
          <w:bCs w:val="1"/>
          <w:sz w:val="20"/>
          <w:szCs w:val="20"/>
          <w:rtl w:val="0"/>
          <w:lang w:val="en-US"/>
        </w:rPr>
        <w:t>1826</w:t>
      </w:r>
      <w:r>
        <w:rPr>
          <w:rFonts w:ascii="Times New Roman" w:hAnsi="Times New Roman"/>
          <w:sz w:val="20"/>
          <w:szCs w:val="20"/>
          <w:rtl w:val="0"/>
          <w:lang w:val="en-US"/>
        </w:rPr>
        <w:t>: The British and Foreign Bible Society decided they would no longer fund the printing of Bibles that included the Apocrypha, in order to promote distribution of what they saw as strictly canonical Scripture.</w:t>
      </w:r>
      <w:r>
        <w:rPr>
          <w:rFonts w:ascii="Times New Roman" w:hAnsi="Times New Roman" w:hint="default"/>
          <w:sz w:val="20"/>
          <w:szCs w:val="20"/>
          <w:rtl w:val="0"/>
          <w:lang w:val="en-US"/>
        </w:rPr>
        <w:t xml:space="preserve">” </w:t>
      </w:r>
      <w:r>
        <w:rPr>
          <w:rFonts w:ascii="Times New Roman" w:hAnsi="Times New Roman"/>
          <w:sz w:val="20"/>
          <w:szCs w:val="20"/>
          <w:rtl w:val="0"/>
          <w:lang w:val="en-US"/>
        </w:rPr>
        <w:t>ChatGPT</w:t>
      </w:r>
      <w:r>
        <w:rPr>
          <w:rFonts w:ascii="Times New Roman" w:hAnsi="Times New Roman"/>
          <w:sz w:val="20"/>
          <w:szCs w:val="20"/>
          <w:rtl w:val="0"/>
          <w:lang w:val="en-US"/>
        </w:rPr>
        <w:t xml:space="preserve"> [boldmine] </w:t>
      </w:r>
    </w:p>
    <w:p>
      <w:pPr>
        <w:pStyle w:val="Default"/>
        <w:spacing w:before="60" w:line="240" w:lineRule="auto"/>
        <w:jc w:val="left"/>
        <w:rPr>
          <w:rFonts w:ascii="Times New Roman" w:cs="Times New Roman" w:hAnsi="Times New Roman" w:eastAsia="Times New Roman"/>
          <w:b w:val="1"/>
          <w:bCs w:val="1"/>
          <w:sz w:val="20"/>
          <w:szCs w:val="20"/>
          <w:lang w:val="en-US"/>
        </w:rPr>
      </w:pPr>
      <w:r>
        <w:rPr>
          <w:rFonts w:ascii="Times New Roman" w:hAnsi="Times New Roman"/>
          <w:b w:val="1"/>
          <w:bCs w:val="1"/>
          <w:sz w:val="20"/>
          <w:szCs w:val="20"/>
          <w:rtl w:val="0"/>
          <w:lang w:val="en-US"/>
        </w:rPr>
        <w:t>New King James Version (NKJV)</w:t>
      </w:r>
    </w:p>
    <w:p>
      <w:pPr>
        <w:pStyle w:val="Default"/>
        <w:spacing w:before="60" w:line="240" w:lineRule="auto"/>
        <w:jc w:val="left"/>
        <w:rPr>
          <w:rFonts w:ascii="Times New Roman" w:cs="Times New Roman" w:hAnsi="Times New Roman" w:eastAsia="Times New Roman"/>
          <w:sz w:val="20"/>
          <w:szCs w:val="20"/>
          <w:lang w:val="en-US"/>
        </w:rPr>
      </w:pPr>
      <w:r>
        <w:rPr>
          <w:rFonts w:ascii="Times New Roman" w:hAnsi="Times New Roman"/>
          <w:b w:val="1"/>
          <w:bCs w:val="1"/>
          <w:sz w:val="20"/>
          <w:szCs w:val="20"/>
          <w:rtl w:val="0"/>
          <w:lang w:val="en-US"/>
        </w:rPr>
        <w:t>American Standard Version (1901)</w:t>
      </w:r>
    </w:p>
    <w:p>
      <w:pPr>
        <w:pStyle w:val="Default"/>
        <w:spacing w:before="60" w:line="240" w:lineRule="auto"/>
        <w:jc w:val="left"/>
        <w:rPr>
          <w:rFonts w:ascii="Times New Roman" w:cs="Times New Roman" w:hAnsi="Times New Roman" w:eastAsia="Times New Roman"/>
          <w:sz w:val="20"/>
          <w:szCs w:val="20"/>
          <w:lang w:val="en-US"/>
        </w:rPr>
      </w:pPr>
      <w:r>
        <w:rPr>
          <w:rFonts w:ascii="Times New Roman" w:hAnsi="Times New Roman"/>
          <w:b w:val="1"/>
          <w:bCs w:val="1"/>
          <w:sz w:val="20"/>
          <w:szCs w:val="20"/>
          <w:rtl w:val="0"/>
          <w:lang w:val="en-US"/>
        </w:rPr>
        <w:t>English Standard Version (ESV)</w:t>
      </w:r>
      <w:r>
        <w:rPr>
          <w:rFonts w:ascii="Times New Roman" w:hAnsi="Times New Roman" w:hint="default"/>
          <w:sz w:val="20"/>
          <w:szCs w:val="20"/>
          <w:rtl w:val="0"/>
          <w:lang w:val="en-US"/>
        </w:rPr>
        <w:t xml:space="preserve"> — </w:t>
      </w:r>
    </w:p>
    <w:p>
      <w:pPr>
        <w:pStyle w:val="Default"/>
        <w:spacing w:before="0" w:line="240" w:lineRule="auto"/>
        <w:ind w:left="360"/>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Note: S</w:t>
      </w:r>
      <w:r>
        <w:rPr>
          <w:rFonts w:ascii="Times New Roman" w:hAnsi="Times New Roman"/>
          <w:sz w:val="20"/>
          <w:szCs w:val="20"/>
          <w:rtl w:val="0"/>
          <w:lang w:val="en-US"/>
        </w:rPr>
        <w:t>tandard editions; there is an ESV with Apocrypha published separately, but the usual ESV Bible does not include them.</w:t>
      </w:r>
    </w:p>
    <w:p>
      <w:pPr>
        <w:pStyle w:val="Default"/>
        <w:spacing w:before="60" w:line="240" w:lineRule="auto"/>
        <w:jc w:val="left"/>
        <w:rPr>
          <w:rFonts w:ascii="Times New Roman" w:cs="Times New Roman" w:hAnsi="Times New Roman" w:eastAsia="Times New Roman"/>
          <w:b w:val="1"/>
          <w:bCs w:val="1"/>
          <w:sz w:val="20"/>
          <w:szCs w:val="20"/>
          <w:lang w:val="en-US"/>
        </w:rPr>
      </w:pPr>
      <w:r>
        <w:rPr>
          <w:rFonts w:ascii="Times New Roman" w:hAnsi="Times New Roman"/>
          <w:b w:val="1"/>
          <w:bCs w:val="1"/>
          <w:sz w:val="20"/>
          <w:szCs w:val="20"/>
          <w:rtl w:val="0"/>
          <w:lang w:val="en-US"/>
        </w:rPr>
        <w:t xml:space="preserve">New American Standard Bible (NASB) </w:t>
      </w:r>
    </w:p>
    <w:p>
      <w:pPr>
        <w:pStyle w:val="Default"/>
        <w:spacing w:before="60" w:line="240" w:lineRule="auto"/>
        <w:jc w:val="left"/>
        <w:rPr>
          <w:rFonts w:ascii="Times New Roman" w:cs="Times New Roman" w:hAnsi="Times New Roman" w:eastAsia="Times New Roman"/>
          <w:sz w:val="20"/>
          <w:szCs w:val="20"/>
          <w:lang w:val="en-US"/>
        </w:rPr>
      </w:pPr>
      <w:r>
        <w:rPr>
          <w:rFonts w:ascii="Times New Roman" w:hAnsi="Times New Roman"/>
          <w:b w:val="1"/>
          <w:bCs w:val="1"/>
          <w:sz w:val="20"/>
          <w:szCs w:val="20"/>
          <w:rtl w:val="0"/>
          <w:lang w:val="en-US"/>
        </w:rPr>
        <w:t>Revised Standard Version (RSV)</w:t>
      </w:r>
      <w:r>
        <w:rPr>
          <w:rFonts w:ascii="Times New Roman" w:hAnsi="Times New Roman"/>
          <w:sz w:val="20"/>
          <w:szCs w:val="20"/>
          <w:rtl w:val="0"/>
          <w:lang w:val="en-US"/>
        </w:rPr>
        <w:t xml:space="preserve"> </w:t>
      </w:r>
    </w:p>
    <w:p>
      <w:pPr>
        <w:pStyle w:val="Default"/>
        <w:spacing w:before="0" w:line="240" w:lineRule="auto"/>
        <w:ind w:left="360"/>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Note: S</w:t>
      </w:r>
      <w:r>
        <w:rPr>
          <w:rFonts w:ascii="Times New Roman" w:hAnsi="Times New Roman"/>
          <w:sz w:val="20"/>
          <w:szCs w:val="20"/>
          <w:rtl w:val="0"/>
          <w:lang w:val="en-US"/>
        </w:rPr>
        <w:t xml:space="preserve">tandard Protestant editions (some editions </w:t>
      </w:r>
      <w:r>
        <w:rPr>
          <w:rFonts w:ascii="Times New Roman" w:hAnsi="Times New Roman"/>
          <w:sz w:val="20"/>
          <w:szCs w:val="20"/>
          <w:rtl w:val="0"/>
          <w:lang w:val="en-US"/>
        </w:rPr>
        <w:t>do exist with</w:t>
      </w:r>
      <w:r>
        <w:rPr>
          <w:rFonts w:ascii="Times New Roman" w:hAnsi="Times New Roman"/>
          <w:sz w:val="20"/>
          <w:szCs w:val="20"/>
          <w:rtl w:val="0"/>
          <w:lang w:val="en-US"/>
        </w:rPr>
        <w:t xml:space="preserve"> the Apocrypha)</w:t>
      </w:r>
    </w:p>
    <w:p>
      <w:pPr>
        <w:pStyle w:val="Default"/>
        <w:spacing w:before="60" w:line="240" w:lineRule="auto"/>
        <w:jc w:val="left"/>
        <w:rPr>
          <w:rFonts w:ascii="Times New Roman" w:cs="Times New Roman" w:hAnsi="Times New Roman" w:eastAsia="Times New Roman"/>
          <w:b w:val="1"/>
          <w:bCs w:val="1"/>
          <w:sz w:val="20"/>
          <w:szCs w:val="20"/>
          <w:lang w:val="en-US"/>
        </w:rPr>
      </w:pPr>
      <w:r>
        <w:rPr>
          <w:rFonts w:ascii="Times New Roman" w:hAnsi="Times New Roman"/>
          <w:b w:val="1"/>
          <w:bCs w:val="1"/>
          <w:sz w:val="20"/>
          <w:szCs w:val="20"/>
          <w:rtl w:val="0"/>
          <w:lang w:val="en-US"/>
        </w:rPr>
        <w:t xml:space="preserve">New Revised Standard Version (NRSV) </w:t>
      </w:r>
    </w:p>
    <w:p>
      <w:pPr>
        <w:pStyle w:val="Default"/>
        <w:spacing w:before="0" w:line="240" w:lineRule="auto"/>
        <w:ind w:left="360"/>
        <w:jc w:val="left"/>
        <w:rPr>
          <w:rFonts w:ascii="Times New Roman" w:cs="Times New Roman" w:hAnsi="Times New Roman" w:eastAsia="Times New Roman"/>
          <w:sz w:val="20"/>
          <w:szCs w:val="20"/>
          <w:lang w:val="en-US"/>
        </w:rPr>
      </w:pPr>
      <w:r>
        <w:rPr>
          <w:rFonts w:ascii="Times New Roman" w:hAnsi="Times New Roman"/>
          <w:b w:val="1"/>
          <w:bCs w:val="1"/>
          <w:sz w:val="20"/>
          <w:szCs w:val="20"/>
          <w:rtl w:val="0"/>
          <w:lang w:val="en-US"/>
        </w:rPr>
        <w:t>Note: S</w:t>
      </w:r>
      <w:r>
        <w:rPr>
          <w:rFonts w:ascii="Times New Roman" w:hAnsi="Times New Roman"/>
          <w:sz w:val="20"/>
          <w:szCs w:val="20"/>
          <w:rtl w:val="0"/>
          <w:lang w:val="en-US"/>
        </w:rPr>
        <w:t xml:space="preserve">tandard Protestant edition; though </w:t>
      </w:r>
      <w:r>
        <w:rPr>
          <w:rFonts w:ascii="Times New Roman" w:hAnsi="Times New Roman"/>
          <w:sz w:val="20"/>
          <w:szCs w:val="20"/>
          <w:rtl w:val="0"/>
          <w:lang w:val="en-US"/>
        </w:rPr>
        <w:t>there are some editions</w:t>
      </w:r>
      <w:r>
        <w:rPr>
          <w:rFonts w:ascii="Times New Roman" w:hAnsi="Times New Roman"/>
          <w:sz w:val="20"/>
          <w:szCs w:val="20"/>
          <w:rtl w:val="0"/>
          <w:lang w:val="en-US"/>
        </w:rPr>
        <w:t xml:space="preserve"> with the Apocrypha for ecumenical or academic purposes (e.g., NRSV with Apocrypha</w:t>
      </w:r>
      <w:r>
        <w:rPr>
          <w:rFonts w:ascii="Times New Roman" w:hAnsi="Times New Roman"/>
          <w:sz w:val="20"/>
          <w:szCs w:val="20"/>
          <w:rtl w:val="0"/>
          <w:lang w:val="en-US"/>
        </w:rPr>
        <w:t>),</w:t>
      </w:r>
      <w:r>
        <w:rPr>
          <w:rFonts w:ascii="Times New Roman" w:hAnsi="Times New Roman"/>
          <w:sz w:val="20"/>
          <w:szCs w:val="20"/>
          <w:rtl w:val="0"/>
          <w:lang w:val="en-US"/>
        </w:rPr>
        <w:t xml:space="preserve"> their standard Protestant editions exclude it.</w:t>
      </w:r>
    </w:p>
    <w:p>
      <w:pPr>
        <w:pStyle w:val="Default"/>
        <w:spacing w:before="60" w:line="240" w:lineRule="auto"/>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N</w:t>
      </w:r>
      <w:r>
        <w:rPr>
          <w:rFonts w:ascii="Times New Roman" w:hAnsi="Times New Roman"/>
          <w:sz w:val="20"/>
          <w:szCs w:val="20"/>
          <w:rtl w:val="0"/>
          <w:lang w:val="en-US"/>
        </w:rPr>
        <w:t>ew International Version (NIV)</w:t>
      </w:r>
    </w:p>
    <w:p>
      <w:pPr>
        <w:pStyle w:val="Default"/>
        <w:spacing w:before="40" w:line="240" w:lineRule="auto"/>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Christian Standard Bible (CSB)</w:t>
      </w:r>
    </w:p>
    <w:p>
      <w:pPr>
        <w:pStyle w:val="Default"/>
        <w:spacing w:before="40" w:line="240" w:lineRule="auto"/>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New Living Translation (NLT)</w:t>
      </w:r>
    </w:p>
    <w:p>
      <w:pPr>
        <w:pStyle w:val="Default"/>
        <w:spacing w:before="40" w:line="240" w:lineRule="auto"/>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Contemporary English Version (CEV)</w:t>
      </w:r>
    </w:p>
    <w:p>
      <w:pPr>
        <w:pStyle w:val="Default"/>
        <w:spacing w:before="40" w:line="240" w:lineRule="auto"/>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 xml:space="preserve">Good News Translation (GNT) </w:t>
      </w:r>
      <w:r>
        <w:rPr>
          <w:rFonts w:ascii="Times New Roman" w:hAnsi="Times New Roman" w:hint="default"/>
          <w:sz w:val="20"/>
          <w:szCs w:val="20"/>
          <w:rtl w:val="0"/>
          <w:lang w:val="en-US"/>
        </w:rPr>
        <w:t xml:space="preserve">— </w:t>
      </w:r>
      <w:r>
        <w:rPr>
          <w:rFonts w:ascii="Times New Roman" w:hAnsi="Times New Roman"/>
          <w:sz w:val="20"/>
          <w:szCs w:val="20"/>
          <w:rtl w:val="0"/>
          <w:lang w:val="en-US"/>
        </w:rPr>
        <w:t>Protestant editions (some editions exist with Apocrypha).</w:t>
      </w:r>
    </w:p>
    <w:p>
      <w:pPr>
        <w:pStyle w:val="Default"/>
        <w:spacing w:before="40" w:line="240" w:lineRule="auto"/>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Holman Christian Standard Bible (HCSB)</w:t>
      </w:r>
    </w:p>
    <w:p>
      <w:pPr>
        <w:pStyle w:val="Default"/>
        <w:spacing w:before="0" w:line="240" w:lineRule="auto"/>
        <w:jc w:val="left"/>
        <w:rPr>
          <w:rFonts w:ascii="Times New Roman" w:cs="Times New Roman" w:hAnsi="Times New Roman" w:eastAsia="Times New Roman"/>
          <w:b w:val="1"/>
          <w:bCs w:val="1"/>
          <w:sz w:val="20"/>
          <w:szCs w:val="20"/>
          <w:u w:val="single"/>
          <w:lang w:val="en-US"/>
        </w:rPr>
      </w:pPr>
    </w:p>
    <w:p>
      <w:pPr>
        <w:pStyle w:val="Default"/>
        <w:spacing w:before="0" w:line="240" w:lineRule="auto"/>
        <w:jc w:val="left"/>
        <w:rPr>
          <w:rFonts w:ascii="Times New Roman" w:cs="Times New Roman" w:hAnsi="Times New Roman" w:eastAsia="Times New Roman"/>
          <w:sz w:val="20"/>
          <w:szCs w:val="20"/>
          <w:lang w:val="en-US"/>
        </w:rPr>
      </w:pPr>
      <w:r>
        <w:rPr>
          <w:rFonts w:ascii="Times New Roman" w:hAnsi="Times New Roman"/>
          <w:b w:val="1"/>
          <w:bCs w:val="1"/>
          <w:sz w:val="20"/>
          <w:szCs w:val="20"/>
          <w:u w:val="single"/>
          <w:rtl w:val="0"/>
          <w:lang w:val="en-US"/>
        </w:rPr>
        <w:t>The Apocryphal books in the Sinaitic MSS</w:t>
      </w:r>
    </w:p>
    <w:p>
      <w:pPr>
        <w:pStyle w:val="Default"/>
        <w:spacing w:before="0" w:line="240" w:lineRule="auto"/>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w:t>
      </w:r>
      <w:r>
        <w:rPr>
          <w:rFonts w:ascii="Times New Roman" w:hAnsi="Times New Roman"/>
          <w:sz w:val="20"/>
          <w:szCs w:val="20"/>
          <w:rtl w:val="0"/>
          <w:lang w:val="en-US"/>
        </w:rPr>
        <w:t xml:space="preserve">the earliest extant copies of the </w:t>
      </w:r>
      <w:r>
        <w:rPr>
          <w:rFonts w:ascii="Times New Roman" w:hAnsi="Times New Roman"/>
          <w:b w:val="1"/>
          <w:bCs w:val="1"/>
          <w:sz w:val="20"/>
          <w:szCs w:val="20"/>
          <w:rtl w:val="0"/>
          <w:lang w:val="en-US"/>
        </w:rPr>
        <w:t>Greek Septuagint (LXX)</w:t>
      </w:r>
      <w:r>
        <w:rPr>
          <w:rFonts w:ascii="Times New Roman" w:hAnsi="Times New Roman"/>
          <w:sz w:val="20"/>
          <w:szCs w:val="20"/>
          <w:rtl w:val="0"/>
          <w:lang w:val="en-US"/>
        </w:rPr>
        <w:t xml:space="preserve"> </w:t>
      </w:r>
      <w:r>
        <w:rPr>
          <w:rFonts w:ascii="Times New Roman" w:hAnsi="Times New Roman"/>
          <w:b w:val="1"/>
          <w:bCs w:val="1"/>
          <w:sz w:val="20"/>
          <w:szCs w:val="20"/>
          <w:rtl w:val="0"/>
          <w:lang w:val="en-US"/>
        </w:rPr>
        <w:t xml:space="preserve">(c. </w:t>
      </w:r>
      <w:r>
        <w:rPr>
          <w:rStyle w:val="green highlight TNR10"/>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fourth century, </w:t>
      </w:r>
      <w:r>
        <w:rPr>
          <w:rStyle w:val="green highlight TNR10"/>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A.D</w:t>
      </w:r>
      <w:r>
        <w:rPr>
          <w:rFonts w:ascii="Times New Roman" w:hAnsi="Times New Roman"/>
          <w:b w:val="1"/>
          <w:bCs w:val="1"/>
          <w:smallCaps w:val="1"/>
          <w:sz w:val="20"/>
          <w:szCs w:val="20"/>
          <w:rtl w:val="0"/>
          <w:lang w:val="en-US"/>
        </w:rPr>
        <w:t>.</w:t>
      </w:r>
      <w:r>
        <w:rPr>
          <w:rFonts w:ascii="Times New Roman" w:hAnsi="Times New Roman"/>
          <w:sz w:val="20"/>
          <w:szCs w:val="20"/>
          <w:rtl w:val="0"/>
          <w:lang w:val="en-US"/>
        </w:rPr>
        <w:t xml:space="preserve">) </w:t>
      </w:r>
      <w:r>
        <w:rPr>
          <w:rFonts w:ascii="Times New Roman" w:hAnsi="Times New Roman"/>
          <w:sz w:val="20"/>
          <w:szCs w:val="20"/>
          <w:rtl w:val="0"/>
          <w:lang w:val="en-US"/>
        </w:rPr>
        <w:t xml:space="preserve">[bold mine] </w:t>
      </w:r>
      <w:r>
        <w:rPr>
          <w:rFonts w:ascii="Times New Roman" w:hAnsi="Times New Roman"/>
          <w:sz w:val="20"/>
          <w:szCs w:val="20"/>
          <w:rtl w:val="0"/>
          <w:lang w:val="en-US"/>
        </w:rPr>
        <w:t>contain some fifteen additional books.</w:t>
      </w:r>
      <w:r>
        <w:rPr>
          <w:rFonts w:ascii="Times New Roman" w:hAnsi="Times New Roman" w:hint="default"/>
          <w:sz w:val="20"/>
          <w:szCs w:val="20"/>
          <w:rtl w:val="0"/>
          <w:lang w:val="en-US"/>
        </w:rPr>
        <w:t xml:space="preserve">” </w:t>
      </w:r>
      <w:r>
        <w:rPr>
          <w:rFonts w:ascii="Times New Roman" w:hAnsi="Times New Roman"/>
          <w:sz w:val="20"/>
          <w:szCs w:val="20"/>
          <w:rtl w:val="0"/>
          <w:lang w:val="en-US"/>
        </w:rPr>
        <w:t>GIB, pp. 167-168.</w:t>
      </w:r>
      <w:r>
        <w:rPr>
          <w:rFonts w:ascii="Times New Roman" w:hAnsi="Times New Roman"/>
          <w:sz w:val="20"/>
          <w:szCs w:val="20"/>
          <w:rtl w:val="0"/>
          <w:lang w:val="en-US"/>
        </w:rPr>
        <w:t xml:space="preserve"> [bold mine] </w:t>
      </w:r>
    </w:p>
    <w:p>
      <w:pPr>
        <w:pStyle w:val="Default"/>
        <w:spacing w:before="0" w:line="240" w:lineRule="auto"/>
        <w:ind w:firstLine="360"/>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w:t>
      </w:r>
      <w:r>
        <w:rPr>
          <w:rFonts w:ascii="Times New Roman" w:hAnsi="Times New Roman"/>
          <w:sz w:val="20"/>
          <w:szCs w:val="20"/>
          <w:rtl w:val="0"/>
          <w:lang w:val="en-US"/>
        </w:rPr>
        <w:t>(</w:t>
      </w:r>
      <w:r>
        <w:rPr>
          <w:rFonts w:ascii="Times New Roman" w:hAnsi="Times New Roman"/>
          <w:b w:val="1"/>
          <w:bCs w:val="1"/>
          <w:sz w:val="20"/>
          <w:szCs w:val="20"/>
          <w:rtl w:val="0"/>
          <w:lang w:val="en-US"/>
        </w:rPr>
        <w:t>Codex Sinaiticus</w:t>
      </w:r>
      <w:r>
        <w:rPr>
          <w:rFonts w:ascii="Times New Roman" w:hAnsi="Times New Roman"/>
          <w:sz w:val="20"/>
          <w:szCs w:val="20"/>
          <w:rtl w:val="0"/>
          <w:lang w:val="en-US"/>
        </w:rPr>
        <w:t xml:space="preserve">, designated as </w:t>
      </w:r>
      <w:r>
        <w:rPr>
          <w:rFonts w:ascii="Times New Roman" w:hAnsi="Times New Roman"/>
          <w:sz w:val="20"/>
          <w:szCs w:val="20"/>
          <w:rtl w:val="0"/>
          <w:lang w:val="en-US"/>
        </w:rPr>
        <w:t>a</w:t>
      </w:r>
      <w:r>
        <w:rPr>
          <w:rFonts w:ascii="Times New Roman" w:hAnsi="Times New Roman"/>
          <w:sz w:val="20"/>
          <w:szCs w:val="20"/>
          <w:rtl w:val="0"/>
          <w:lang w:val="en-US"/>
        </w:rPr>
        <w:t xml:space="preserve">), a </w:t>
      </w:r>
      <w:r>
        <w:rPr>
          <w:rFonts w:ascii="Times New Roman" w:hAnsi="Times New Roman"/>
          <w:b w:val="1"/>
          <w:bCs w:val="1"/>
          <w:sz w:val="20"/>
          <w:szCs w:val="20"/>
          <w:rtl w:val="0"/>
          <w:lang w:val="en-US"/>
        </w:rPr>
        <w:t xml:space="preserve">MS. of the Septuagint and Greek New </w:t>
      </w:r>
      <w:r>
        <w:rPr>
          <w:rFonts w:ascii="Times New Roman" w:hAnsi="Times New Roman"/>
          <w:b w:val="1"/>
          <w:bCs w:val="1"/>
          <w:sz w:val="20"/>
          <w:szCs w:val="20"/>
          <w:rtl w:val="0"/>
          <w:lang w:val="en-US"/>
        </w:rPr>
        <w:t>Testament</w:t>
      </w:r>
      <w:r>
        <w:rPr>
          <w:rFonts w:ascii="Times New Roman" w:hAnsi="Times New Roman"/>
          <w:sz w:val="20"/>
          <w:szCs w:val="20"/>
          <w:rtl w:val="0"/>
          <w:lang w:val="en-US"/>
        </w:rPr>
        <w:t xml:space="preserve">, brought from the Convent of St. Catherine, on Mount Sinai, by Tischendorf in 1859. It consists of 345 leaves and a half, 199 in the Old </w:t>
      </w:r>
      <w:r>
        <w:rPr>
          <w:rFonts w:ascii="Times New Roman" w:hAnsi="Times New Roman"/>
          <w:sz w:val="20"/>
          <w:szCs w:val="20"/>
          <w:rtl w:val="0"/>
          <w:lang w:val="en-US"/>
        </w:rPr>
        <w:t>Test.</w:t>
      </w:r>
      <w:r>
        <w:rPr>
          <w:rFonts w:ascii="Times New Roman" w:hAnsi="Times New Roman"/>
          <w:sz w:val="20"/>
          <w:szCs w:val="20"/>
          <w:rtl w:val="0"/>
          <w:lang w:val="en-US"/>
        </w:rPr>
        <w:t xml:space="preserve"> and 147 in the New </w:t>
      </w:r>
      <w:r>
        <w:rPr>
          <w:rFonts w:ascii="Times New Roman" w:hAnsi="Times New Roman"/>
          <w:sz w:val="20"/>
          <w:szCs w:val="20"/>
          <w:rtl w:val="0"/>
          <w:lang w:val="en-US"/>
        </w:rPr>
        <w:t>Testament</w:t>
      </w:r>
      <w:r>
        <w:rPr>
          <w:rFonts w:ascii="Times New Roman" w:hAnsi="Times New Roman"/>
          <w:sz w:val="20"/>
          <w:szCs w:val="20"/>
          <w:rtl w:val="0"/>
          <w:lang w:val="en-US"/>
        </w:rPr>
        <w:t xml:space="preserve">. </w:t>
      </w:r>
      <w:r>
        <w:rPr>
          <w:rFonts w:ascii="Times New Roman" w:hAnsi="Times New Roman"/>
          <w:b w:val="1"/>
          <w:bCs w:val="1"/>
          <w:sz w:val="20"/>
          <w:szCs w:val="20"/>
          <w:rtl w:val="0"/>
          <w:lang w:val="en-US"/>
        </w:rPr>
        <w:t xml:space="preserve">The </w:t>
      </w:r>
      <w:r>
        <w:rPr>
          <w:rStyle w:val="green highlight TNR10"/>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Codex Sinaiticus contains</w:t>
      </w:r>
      <w:r>
        <w:rPr>
          <w:rFonts w:ascii="Times New Roman" w:hAnsi="Times New Roman"/>
          <w:sz w:val="20"/>
          <w:szCs w:val="20"/>
          <w:rtl w:val="0"/>
          <w:lang w:val="en-US"/>
        </w:rPr>
        <w:t xml:space="preserve"> the following portions of the Old </w:t>
      </w:r>
      <w:r>
        <w:rPr>
          <w:rFonts w:ascii="Times New Roman" w:hAnsi="Times New Roman"/>
          <w:sz w:val="20"/>
          <w:szCs w:val="20"/>
          <w:rtl w:val="0"/>
          <w:lang w:val="en-US"/>
        </w:rPr>
        <w:t>Testament</w:t>
      </w:r>
      <w:r>
        <w:rPr>
          <w:rFonts w:ascii="Times New Roman" w:hAnsi="Times New Roman"/>
          <w:sz w:val="20"/>
          <w:szCs w:val="20"/>
          <w:rtl w:val="0"/>
          <w:lang w:val="en-US"/>
        </w:rPr>
        <w:t xml:space="preserve"> and Apocrypha in the order here given:1 Chronicles 9:27-11:22; </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Tobit 2:2 to the end; Judith 1</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:l-11</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:13; 13:9-15; 1 Macc.; 4 Macc</w:t>
      </w:r>
      <w:r>
        <w:rPr>
          <w:rFonts w:ascii="Times New Roman" w:hAnsi="Times New Roman"/>
          <w:sz w:val="20"/>
          <w:szCs w:val="20"/>
          <w:rtl w:val="0"/>
          <w:lang w:val="en-US"/>
        </w:rPr>
        <w:t>.; Isaiah; Jeremiah 1:1-10:25; Joel; Obadiah; Jonah; Nahum; Habakkuk; Zephaniah; Haggai; Zechariah</w:t>
      </w:r>
      <w:r>
        <w:rPr>
          <w:rFonts w:ascii="Times New Roman" w:hAnsi="Times New Roman"/>
          <w:sz w:val="20"/>
          <w:szCs w:val="20"/>
          <w:rtl w:val="0"/>
          <w:lang w:val="en-US"/>
        </w:rPr>
        <w:t xml:space="preserve">; </w:t>
      </w:r>
      <w:r>
        <w:rPr>
          <w:rFonts w:ascii="Times New Roman" w:hAnsi="Times New Roman"/>
          <w:sz w:val="20"/>
          <w:szCs w:val="20"/>
          <w:rtl w:val="0"/>
          <w:lang w:val="en-US"/>
        </w:rPr>
        <w:t xml:space="preserve">Malachi; Psalms; Proverbs; Ecclesiastes; Song of Solomon; </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Wisdom of Solomon; Ecclesiasticus</w:t>
      </w:r>
      <w:r>
        <w:rPr>
          <w:rFonts w:ascii="Times New Roman" w:hAnsi="Times New Roman"/>
          <w:sz w:val="20"/>
          <w:szCs w:val="20"/>
          <w:rtl w:val="0"/>
          <w:lang w:val="en-US"/>
        </w:rPr>
        <w:t xml:space="preserve">; Job. Of the missing </w:t>
      </w:r>
      <w:r>
        <w:rPr>
          <w:rFonts w:ascii="Times New Roman" w:hAnsi="Times New Roman"/>
          <w:sz w:val="20"/>
          <w:szCs w:val="20"/>
          <w:rtl w:val="0"/>
          <w:lang w:val="en-US"/>
        </w:rPr>
        <w:t>portions,</w:t>
      </w:r>
      <w:r>
        <w:rPr>
          <w:rFonts w:ascii="Times New Roman" w:hAnsi="Times New Roman"/>
          <w:sz w:val="20"/>
          <w:szCs w:val="20"/>
          <w:rtl w:val="0"/>
          <w:lang w:val="en-US"/>
        </w:rPr>
        <w:t xml:space="preserve"> the following are supplied by the </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Codex Friderico-Augustanus</w:t>
      </w:r>
      <w:r>
        <w:rPr>
          <w:rFonts w:ascii="Times New Roman" w:hAnsi="Times New Roman"/>
          <w:sz w:val="20"/>
          <w:szCs w:val="20"/>
          <w:rtl w:val="0"/>
          <w:lang w:val="en-US"/>
        </w:rPr>
        <w:t xml:space="preserve">, and the fragments afterwards published by Tischendorf, which were originally parts of the Sinaitic MS. a few verses of Genesis 23:24, and of Numbers 5-7; also 1 Chronicles 11:22-19:17; Ezra 9:9 to the end; Nehemiah; Esther; </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Tobit 1:1-2, 2</w:t>
      </w:r>
      <w:r>
        <w:rPr>
          <w:rFonts w:ascii="Times New Roman" w:hAnsi="Times New Roman"/>
          <w:sz w:val="20"/>
          <w:szCs w:val="20"/>
          <w:rtl w:val="0"/>
          <w:lang w:val="en-US"/>
        </w:rPr>
        <w:t xml:space="preserve">; Jeremiah 10:25 to the end; Lamentations 1:1-3:20. This codex contains the entire New </w:t>
      </w:r>
      <w:r>
        <w:rPr>
          <w:rFonts w:ascii="Times New Roman" w:hAnsi="Times New Roman"/>
          <w:sz w:val="20"/>
          <w:szCs w:val="20"/>
          <w:rtl w:val="0"/>
          <w:lang w:val="en-US"/>
        </w:rPr>
        <w:t>Testament</w:t>
      </w:r>
      <w:r>
        <w:rPr>
          <w:rFonts w:ascii="Times New Roman" w:hAnsi="Times New Roman"/>
          <w:sz w:val="20"/>
          <w:szCs w:val="20"/>
          <w:rtl w:val="0"/>
          <w:lang w:val="en-US"/>
        </w:rPr>
        <w:t>, together with the epistle of Barnabas and parts of the Shepherd of Hermas.</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Cyclopedia of Biblical &amp; Ecclesiastical Literature, </w:t>
      </w:r>
      <w:r>
        <w:rPr>
          <w:rFonts w:ascii="Times New Roman" w:hAnsi="Times New Roman"/>
          <w:sz w:val="20"/>
          <w:szCs w:val="20"/>
          <w:rtl w:val="0"/>
          <w:lang w:val="en-US"/>
        </w:rPr>
        <w:t xml:space="preserve">McClintock </w:t>
      </w:r>
      <w:r>
        <w:rPr>
          <w:rFonts w:ascii="Times New Roman" w:hAnsi="Times New Roman"/>
          <w:sz w:val="20"/>
          <w:szCs w:val="20"/>
          <w:rtl w:val="0"/>
          <w:lang w:val="en-US"/>
        </w:rPr>
        <w:t>&amp; Strong</w:t>
      </w:r>
      <w:r>
        <w:rPr>
          <w:rFonts w:ascii="Times New Roman" w:hAnsi="Times New Roman"/>
          <w:sz w:val="20"/>
          <w:szCs w:val="20"/>
          <w:rtl w:val="0"/>
          <w:lang w:val="en-US"/>
        </w:rPr>
        <w:t xml:space="preserve"> [bold mine] </w:t>
      </w:r>
    </w:p>
    <w:p>
      <w:pPr>
        <w:pStyle w:val="Default"/>
        <w:spacing w:before="0" w:line="240" w:lineRule="auto"/>
        <w:ind w:firstLine="360"/>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w:t>
      </w:r>
      <w:r>
        <w:rPr>
          <w:rStyle w:val="green highlight TNR10"/>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It has not been proven that the Greek Old Testament (LXX) of the first century [bold mine, srf] contained the Apocrypha</w:t>
      </w:r>
      <w:r>
        <w:rPr>
          <w:rFonts w:ascii="Times New Roman" w:hAnsi="Times New Roman"/>
          <w:b w:val="1"/>
          <w:bCs w:val="1"/>
          <w:sz w:val="20"/>
          <w:szCs w:val="20"/>
          <w:rtl w:val="0"/>
          <w:lang w:val="en-US"/>
        </w:rPr>
        <w:t>.</w:t>
      </w:r>
      <w:r>
        <w:rPr>
          <w:rFonts w:ascii="Times New Roman" w:hAnsi="Times New Roman"/>
          <w:sz w:val="20"/>
          <w:szCs w:val="20"/>
          <w:rtl w:val="0"/>
          <w:lang w:val="en-US"/>
        </w:rPr>
        <w:t xml:space="preserve"> The earliest manuscripts which include them date from the fourth century a.d. In addition to this, if they were in the LXX of apostolic time, Jesus and the apostles implied their view of them by never once quoting from the</w:t>
      </w:r>
      <w:r>
        <w:rPr>
          <w:rFonts w:ascii="Times New Roman" w:hAnsi="Times New Roman"/>
          <w:sz w:val="20"/>
          <w:szCs w:val="20"/>
          <w:rtl w:val="0"/>
          <w:lang w:val="en-US"/>
        </w:rPr>
        <w:t>m</w:t>
      </w:r>
      <w:r>
        <w:rPr>
          <w:rFonts w:ascii="Times New Roman" w:hAnsi="Times New Roman"/>
          <w:sz w:val="20"/>
          <w:szCs w:val="20"/>
          <w:rtl w:val="0"/>
          <w:lang w:val="en-US"/>
        </w:rPr>
        <w:t>, although they were supposed to have been included in the very version of the Old Testament that they quoted.</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GIB, pp. 170-171. </w:t>
      </w:r>
      <w:r>
        <w:rPr>
          <w:rFonts w:ascii="Times New Roman" w:hAnsi="Times New Roman" w:hint="default"/>
          <w:sz w:val="20"/>
          <w:szCs w:val="20"/>
          <w:rtl w:val="0"/>
          <w:lang w:val="en-US"/>
        </w:rPr>
        <w:t>“</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T</w:t>
      </w:r>
      <w:r>
        <w:rPr>
          <w:rStyle w:val="green highlight TNR10"/>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he fact that the Apocryphal books were a part of the Greek manuscripts in the fourth century a.d. does not prove that they were a part of the first century canon</w:t>
      </w:r>
      <w:r>
        <w:rPr>
          <w:rStyle w:val="green highlight TNR10"/>
          <w:rFonts w:ascii="Times New Roman" w:cs="Arial Unicode MS" w:hAnsi="Times New Roman" w:eastAsia="Arial Unicode MS" w:hint="default"/>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w:t>
      </w:r>
      <w:r>
        <w:rPr>
          <w:rStyle w:val="green highlight TNR10"/>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p. 171. </w:t>
      </w:r>
      <w:r>
        <w:rPr>
          <w:rStyle w:val="green highlight TNR10"/>
          <w:rFonts w:ascii="Times New Roman" w:cs="Arial Unicode MS" w:hAnsi="Times New Roman" w:eastAsia="Arial Unicode MS" w:hint="default"/>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0"/>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In the second century a.d. the Syrian Bible (Peshitta) did not contain the Apocrypha</w:t>
      </w:r>
      <w:r>
        <w:rPr>
          <w:rFonts w:ascii="Times New Roman" w:hAnsi="Times New Roman"/>
          <w:sz w:val="20"/>
          <w:szCs w:val="20"/>
          <w:rtl w:val="0"/>
          <w:lang w:val="en-US"/>
        </w:rPr>
        <w:t>.</w:t>
      </w:r>
      <w:r>
        <w:rPr>
          <w:rFonts w:ascii="Times New Roman" w:hAnsi="Times New Roman" w:hint="default"/>
          <w:sz w:val="20"/>
          <w:szCs w:val="20"/>
          <w:rtl w:val="0"/>
          <w:lang w:val="en-US"/>
        </w:rPr>
        <w:t xml:space="preserve">” </w:t>
      </w:r>
      <w:r>
        <w:rPr>
          <w:rFonts w:ascii="Times New Roman" w:hAnsi="Times New Roman"/>
          <w:sz w:val="20"/>
          <w:szCs w:val="20"/>
          <w:rtl w:val="0"/>
          <w:lang w:val="en-US"/>
        </w:rPr>
        <w:t>p. 171.</w:t>
      </w:r>
      <w:r>
        <w:rPr>
          <w:rFonts w:ascii="Times New Roman" w:hAnsi="Times New Roman"/>
          <w:sz w:val="20"/>
          <w:szCs w:val="20"/>
          <w:rtl w:val="0"/>
          <w:lang w:val="en-US"/>
        </w:rPr>
        <w:t xml:space="preserve"> [bold mine] </w:t>
      </w:r>
    </w:p>
    <w:p>
      <w:pPr>
        <w:pStyle w:val="Default"/>
        <w:spacing w:before="120" w:line="240" w:lineRule="auto"/>
        <w:jc w:val="left"/>
        <w:rPr>
          <w:rFonts w:ascii="Times New Roman" w:cs="Times New Roman" w:hAnsi="Times New Roman" w:eastAsia="Times New Roman"/>
          <w:b w:val="1"/>
          <w:bCs w:val="1"/>
          <w:sz w:val="20"/>
          <w:szCs w:val="20"/>
          <w:u w:val="single"/>
          <w:lang w:val="en-US"/>
        </w:rPr>
      </w:pPr>
      <w:r>
        <w:rPr>
          <w:rFonts w:ascii="Times New Roman" w:hAnsi="Times New Roman"/>
          <w:b w:val="1"/>
          <w:bCs w:val="1"/>
          <w:sz w:val="20"/>
          <w:szCs w:val="20"/>
          <w:u w:val="single"/>
          <w:rtl w:val="0"/>
          <w:lang w:val="en-US"/>
        </w:rPr>
        <w:t xml:space="preserve">How might these extra books become connected to the LXX? </w:t>
      </w:r>
    </w:p>
    <w:p>
      <w:pPr>
        <w:pStyle w:val="Default"/>
        <w:spacing w:before="0" w:line="240" w:lineRule="auto"/>
        <w:ind w:firstLine="360"/>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w:t>
      </w:r>
      <w:r>
        <w:rPr>
          <w:rFonts w:ascii="Times New Roman" w:hAnsi="Times New Roman"/>
          <w:sz w:val="20"/>
          <w:szCs w:val="20"/>
          <w:rtl w:val="0"/>
          <w:lang w:val="en-US"/>
        </w:rPr>
        <w:t xml:space="preserve">Today the printer can gauge accurately the number of pages needed in a book and can plan to bind it accordingly. But in those days the book had to be bound first </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or at least cut and planned </w:t>
      </w:r>
      <w:r>
        <w:rPr>
          <w:rFonts w:ascii="Times New Roman" w:hAnsi="Times New Roman" w:hint="default"/>
          <w:sz w:val="20"/>
          <w:szCs w:val="20"/>
          <w:rtl w:val="0"/>
          <w:lang w:val="en-US"/>
        </w:rPr>
        <w:t xml:space="preserve">— </w:t>
      </w:r>
      <w:r>
        <w:rPr>
          <w:rFonts w:ascii="Times New Roman" w:hAnsi="Times New Roman"/>
          <w:sz w:val="20"/>
          <w:szCs w:val="20"/>
          <w:rtl w:val="0"/>
          <w:lang w:val="en-US"/>
        </w:rPr>
        <w:t>and then it was filled. What should one do if he planned a book of a thousand pages? Obviously, he should make it large enough so that he would not have twenty pages of material left for the last page! But if he had fifty blank pages of precious leather at the end, what should he do? Naturally, he would fill it with helpful devotional material. Thus the tendency would be to associate other good books with the sacred books until eventually some of the good books attained a deuterocanonical status, that is, were received into a second rank.</w:t>
      </w:r>
    </w:p>
    <w:p>
      <w:pPr>
        <w:pStyle w:val="Default"/>
        <w:spacing w:before="0" w:line="240" w:lineRule="auto"/>
        <w:ind w:firstLine="360"/>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w:t>
      </w:r>
      <w:r>
        <w:rPr>
          <w:rFonts w:ascii="Times New Roman" w:hAnsi="Times New Roman"/>
          <w:sz w:val="20"/>
          <w:szCs w:val="20"/>
          <w:rtl w:val="0"/>
          <w:lang w:val="en-US"/>
        </w:rPr>
        <w:t xml:space="preserve">That at least is what happened, </w:t>
      </w:r>
      <w:r>
        <w:rPr>
          <w:rStyle w:val="green highlight TNR10"/>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for we know from considerable testimony of the first four centuries that the Apocryphal boo</w:t>
      </w:r>
      <w:r>
        <w:rPr>
          <w:rStyle w:val="green highlight TNR10"/>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k</w:t>
      </w:r>
      <w:r>
        <w:rPr>
          <w:rStyle w:val="green highlight TNR10"/>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s were not then received into the canon</w:t>
      </w:r>
      <w:r>
        <w:rPr>
          <w:rFonts w:ascii="Times New Roman" w:hAnsi="Times New Roman"/>
          <w:sz w:val="20"/>
          <w:szCs w:val="20"/>
          <w:rtl w:val="0"/>
          <w:lang w:val="en-US"/>
        </w:rPr>
        <w:t>.</w:t>
      </w:r>
      <w:r>
        <w:rPr>
          <w:rFonts w:ascii="Times New Roman" w:hAnsi="Times New Roman" w:hint="default"/>
          <w:sz w:val="20"/>
          <w:szCs w:val="20"/>
          <w:rtl w:val="0"/>
          <w:lang w:val="en-US"/>
        </w:rPr>
        <w:t xml:space="preserve">” </w:t>
      </w:r>
      <w:r>
        <w:rPr>
          <w:rFonts w:ascii="Times New Roman" w:hAnsi="Times New Roman"/>
          <w:sz w:val="20"/>
          <w:szCs w:val="20"/>
          <w:rtl w:val="0"/>
          <w:lang w:val="en-US"/>
        </w:rPr>
        <w:t>ICB, p. 188</w:t>
      </w:r>
      <w:r>
        <w:rPr>
          <w:rFonts w:ascii="Times New Roman" w:hAnsi="Times New Roman"/>
          <w:sz w:val="20"/>
          <w:szCs w:val="20"/>
          <w:rtl w:val="0"/>
          <w:lang w:val="en-US"/>
        </w:rPr>
        <w:t xml:space="preserve"> [bold mine] </w:t>
      </w:r>
    </w:p>
    <w:p>
      <w:pPr>
        <w:pStyle w:val="Default"/>
        <w:spacing w:before="0" w:line="240" w:lineRule="auto"/>
        <w:ind w:left="720" w:firstLine="360"/>
        <w:jc w:val="left"/>
        <w:rPr>
          <w:rFonts w:ascii="Times New Roman" w:cs="Times New Roman" w:hAnsi="Times New Roman" w:eastAsia="Times New Roman"/>
          <w:sz w:val="20"/>
          <w:szCs w:val="20"/>
          <w:lang w:val="en-US"/>
        </w:rPr>
      </w:pPr>
    </w:p>
    <w:p>
      <w:pPr>
        <w:pStyle w:val="Default"/>
        <w:spacing w:before="0" w:line="240" w:lineRule="auto"/>
        <w:jc w:val="left"/>
        <w:rPr>
          <w:rFonts w:ascii="Times New Roman" w:cs="Times New Roman" w:hAnsi="Times New Roman" w:eastAsia="Times New Roman"/>
          <w:b w:val="1"/>
          <w:bCs w:val="1"/>
          <w:sz w:val="20"/>
          <w:szCs w:val="20"/>
          <w:u w:val="single"/>
          <w:lang w:val="en-US"/>
        </w:rPr>
      </w:pPr>
      <w:r>
        <w:rPr>
          <w:rFonts w:ascii="Times New Roman" w:hAnsi="Times New Roman"/>
          <w:b w:val="1"/>
          <w:bCs w:val="1"/>
          <w:sz w:val="20"/>
          <w:szCs w:val="20"/>
          <w:u w:val="single"/>
          <w:rtl w:val="0"/>
          <w:lang w:val="en-US"/>
        </w:rPr>
        <w:t>How the Catholic version ends up with seven Apocryphal and thus 46 total (39+7=46) OT books.</w:t>
      </w:r>
    </w:p>
    <w:p>
      <w:pPr>
        <w:pStyle w:val="Default"/>
        <w:spacing w:before="0" w:line="240" w:lineRule="auto"/>
        <w:ind w:firstLine="360"/>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w:t>
      </w:r>
      <w:r>
        <w:rPr>
          <w:rFonts w:ascii="Times New Roman" w:hAnsi="Times New Roman"/>
          <w:sz w:val="20"/>
          <w:szCs w:val="20"/>
          <w:rtl w:val="0"/>
          <w:lang w:val="en-US"/>
        </w:rPr>
        <w:t>Only eleven of these fourteen or fifteen books [depending on how counted - fourteen if Baruch and Letter of Jeremiah counted as one, srf] are accepted as canonical by the Roman Catholic Church, which includes all but I and II Esdras (which are called III and IV Esdras) and the Prayer of Manasseh. However, according to the numbering of books in Douay Old Testament, only seven additional books are indicated, making the total forty-six. The reason for this is that Baruch and the Letter of Jeremiah were combined into one book, having six chapters; the additions to Esther were added at the end of the book of Esther; the Prayer of Azariah was inserted between the Hebrew Daniel 3:23 and 24, making it Daniel 3:24-90 in the Douay Version; Susanna was placed at the end of the book of Daniel (Chap. 13); and Bel and the Dragon was attached as chapter 14 of Daniel.</w:t>
      </w:r>
      <w:r>
        <w:rPr>
          <w:rFonts w:ascii="Times New Roman" w:hAnsi="Times New Roman" w:hint="default"/>
          <w:sz w:val="20"/>
          <w:szCs w:val="20"/>
          <w:rtl w:val="0"/>
          <w:lang w:val="en-US"/>
        </w:rPr>
        <w:t xml:space="preserve">” </w:t>
      </w:r>
      <w:r>
        <w:rPr>
          <w:rFonts w:ascii="Times New Roman" w:hAnsi="Times New Roman"/>
          <w:sz w:val="20"/>
          <w:szCs w:val="20"/>
          <w:rtl w:val="0"/>
          <w:lang w:val="en-US"/>
        </w:rPr>
        <w:t>GIB, pp. 168-169.</w:t>
      </w:r>
    </w:p>
    <w:p>
      <w:pPr>
        <w:pStyle w:val="Default"/>
        <w:spacing w:before="0" w:line="240" w:lineRule="auto"/>
        <w:ind w:firstLine="360"/>
        <w:jc w:val="left"/>
        <w:rPr>
          <w:rFonts w:ascii="Times New Roman" w:cs="Times New Roman" w:hAnsi="Times New Roman" w:eastAsia="Times New Roman"/>
          <w:sz w:val="20"/>
          <w:szCs w:val="20"/>
          <w:lang w:val="en-US"/>
        </w:rPr>
      </w:pPr>
    </w:p>
    <w:p>
      <w:pPr>
        <w:pStyle w:val="Default"/>
        <w:spacing w:before="0" w:line="240" w:lineRule="auto"/>
        <w:ind w:firstLine="360"/>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See chart above.</w:t>
      </w:r>
    </w:p>
    <w:p>
      <w:pPr>
        <w:pStyle w:val="Default"/>
        <w:spacing w:before="0" w:line="240" w:lineRule="auto"/>
        <w:jc w:val="left"/>
        <w:rPr>
          <w:rFonts w:ascii="Times New Roman" w:cs="Times New Roman" w:hAnsi="Times New Roman" w:eastAsia="Times New Roman"/>
          <w:sz w:val="20"/>
          <w:szCs w:val="20"/>
          <w:lang w:val="en-US"/>
        </w:rPr>
      </w:pPr>
    </w:p>
    <w:p>
      <w:pPr>
        <w:pStyle w:val="Default"/>
        <w:spacing w:before="0" w:line="240" w:lineRule="auto"/>
        <w:jc w:val="left"/>
        <w:rPr>
          <w:rFonts w:ascii="Times New Roman" w:cs="Times New Roman" w:hAnsi="Times New Roman" w:eastAsia="Times New Roman"/>
          <w:b w:val="1"/>
          <w:bCs w:val="1"/>
          <w:sz w:val="20"/>
          <w:szCs w:val="20"/>
          <w:u w:val="single"/>
          <w:lang w:val="en-US"/>
        </w:rPr>
      </w:pPr>
      <w:r>
        <w:rPr>
          <w:rFonts w:ascii="Times New Roman" w:hAnsi="Times New Roman"/>
          <w:b w:val="1"/>
          <w:bCs w:val="1"/>
          <w:sz w:val="20"/>
          <w:szCs w:val="20"/>
          <w:u w:val="single"/>
          <w:rtl w:val="0"/>
          <w:lang w:val="en-US"/>
        </w:rPr>
        <w:t xml:space="preserve">Roman Catholic Church </w:t>
      </w:r>
      <w:r>
        <w:rPr>
          <w:rFonts w:ascii="Times New Roman" w:hAnsi="Times New Roman"/>
          <w:b w:val="1"/>
          <w:bCs w:val="1"/>
          <w:sz w:val="20"/>
          <w:szCs w:val="20"/>
          <w:u w:val="single"/>
          <w:rtl w:val="0"/>
          <w:lang w:val="en-US"/>
        </w:rPr>
        <w:t>Councils</w:t>
      </w:r>
      <w:r>
        <w:rPr>
          <w:rFonts w:ascii="Times New Roman" w:hAnsi="Times New Roman"/>
          <w:b w:val="1"/>
          <w:bCs w:val="1"/>
          <w:sz w:val="20"/>
          <w:szCs w:val="20"/>
          <w:u w:val="single"/>
          <w:rtl w:val="0"/>
          <w:lang w:val="en-US"/>
        </w:rPr>
        <w:t xml:space="preserve"> and Scholars re the Apocrypha</w:t>
      </w:r>
    </w:p>
    <w:p>
      <w:pPr>
        <w:pStyle w:val="Default"/>
        <w:spacing w:before="0" w:line="240" w:lineRule="auto"/>
        <w:jc w:val="left"/>
        <w:rPr>
          <w:rFonts w:ascii="Times New Roman" w:cs="Times New Roman" w:hAnsi="Times New Roman" w:eastAsia="Times New Roman"/>
          <w:sz w:val="20"/>
          <w:szCs w:val="20"/>
          <w:lang w:val="en-US"/>
        </w:rPr>
      </w:pPr>
      <w:r>
        <w:rPr>
          <w:rFonts w:ascii="Times New Roman" w:hAnsi="Times New Roman" w:hint="default"/>
          <w:b w:val="1"/>
          <w:bCs w:val="1"/>
          <w:sz w:val="20"/>
          <w:szCs w:val="20"/>
          <w:rtl w:val="0"/>
          <w:lang w:val="en-US"/>
        </w:rPr>
        <w:t>“</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The Council of Trent [1546 a.d., srf] was the first official proclamation of the Roman Catholic Church on the Apocrypha</w:t>
      </w:r>
      <w:r>
        <w:rPr>
          <w:rFonts w:ascii="Times New Roman" w:hAnsi="Times New Roman"/>
          <w:b w:val="1"/>
          <w:bCs w:val="1"/>
          <w:sz w:val="20"/>
          <w:szCs w:val="20"/>
          <w:rtl w:val="0"/>
          <w:lang w:val="en-US"/>
        </w:rPr>
        <w:t>, and</w:t>
      </w:r>
      <w:r>
        <w:rPr>
          <w:rFonts w:ascii="Times New Roman" w:hAnsi="Times New Roman"/>
          <w:sz w:val="20"/>
          <w:szCs w:val="20"/>
          <w:rtl w:val="0"/>
          <w:lang w:val="en-US"/>
        </w:rPr>
        <w:t xml:space="preserve"> </w:t>
      </w:r>
      <w:r>
        <w:rPr>
          <w:rFonts w:ascii="Times New Roman" w:hAnsi="Times New Roman"/>
          <w:b w:val="1"/>
          <w:bCs w:val="1"/>
          <w:sz w:val="20"/>
          <w:szCs w:val="20"/>
          <w:rtl w:val="0"/>
          <w:lang w:val="en-US"/>
        </w:rPr>
        <w:t>it came a millennium and a half after the books were written, in an obvious polemical action against Protestantism</w:t>
      </w:r>
      <w:r>
        <w:rPr>
          <w:rFonts w:ascii="Times New Roman" w:hAnsi="Times New Roman"/>
          <w:sz w:val="20"/>
          <w:szCs w:val="20"/>
          <w:rtl w:val="0"/>
          <w:lang w:val="en-US"/>
        </w:rPr>
        <w:t xml:space="preserve">. Furthermore, the addition of the books that support </w:t>
      </w:r>
      <w:r>
        <w:rPr>
          <w:rFonts w:ascii="Times New Roman" w:hAnsi="Times New Roman" w:hint="default"/>
          <w:sz w:val="20"/>
          <w:szCs w:val="20"/>
          <w:rtl w:val="0"/>
          <w:lang w:val="en-US"/>
        </w:rPr>
        <w:t>‘</w:t>
      </w:r>
      <w:r>
        <w:rPr>
          <w:rFonts w:ascii="Times New Roman" w:hAnsi="Times New Roman"/>
          <w:sz w:val="20"/>
          <w:szCs w:val="20"/>
          <w:rtl w:val="0"/>
          <w:lang w:val="en-US"/>
        </w:rPr>
        <w:t>salvation by works</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and </w:t>
      </w:r>
      <w:r>
        <w:rPr>
          <w:rFonts w:ascii="Times New Roman" w:hAnsi="Times New Roman" w:hint="default"/>
          <w:sz w:val="20"/>
          <w:szCs w:val="20"/>
          <w:rtl w:val="0"/>
          <w:lang w:val="en-US"/>
        </w:rPr>
        <w:t>‘</w:t>
      </w:r>
      <w:r>
        <w:rPr>
          <w:rFonts w:ascii="Times New Roman" w:hAnsi="Times New Roman"/>
          <w:sz w:val="20"/>
          <w:szCs w:val="20"/>
          <w:rtl w:val="0"/>
          <w:lang w:val="en-US"/>
        </w:rPr>
        <w:t>prayers for the dead</w:t>
      </w:r>
      <w:r>
        <w:rPr>
          <w:rFonts w:ascii="Times New Roman" w:hAnsi="Times New Roman" w:hint="default"/>
          <w:sz w:val="20"/>
          <w:szCs w:val="20"/>
          <w:rtl w:val="0"/>
          <w:lang w:val="en-US"/>
        </w:rPr>
        <w:t xml:space="preserve">’ </w:t>
      </w:r>
      <w:r>
        <w:rPr>
          <w:rFonts w:ascii="Times New Roman" w:hAnsi="Times New Roman"/>
          <w:sz w:val="20"/>
          <w:szCs w:val="20"/>
          <w:rtl w:val="0"/>
          <w:lang w:val="en-US"/>
        </w:rPr>
        <w:t>at this time (1546), only twenty-nine years after Luther posted his Ninety-five Theses, is highly suspect.</w:t>
      </w:r>
      <w:r>
        <w:rPr>
          <w:rFonts w:ascii="Times New Roman" w:hAnsi="Times New Roman" w:hint="default"/>
          <w:sz w:val="20"/>
          <w:szCs w:val="20"/>
          <w:rtl w:val="0"/>
          <w:lang w:val="en-US"/>
        </w:rPr>
        <w:t xml:space="preserve">” </w:t>
      </w:r>
      <w:r>
        <w:rPr>
          <w:rFonts w:ascii="Times New Roman" w:hAnsi="Times New Roman"/>
          <w:sz w:val="20"/>
          <w:szCs w:val="20"/>
          <w:rtl w:val="0"/>
          <w:lang w:val="en-US"/>
        </w:rPr>
        <w:t>GIB, p. 172</w:t>
      </w:r>
      <w:r>
        <w:rPr>
          <w:rFonts w:ascii="Times New Roman" w:hAnsi="Times New Roman"/>
          <w:sz w:val="20"/>
          <w:szCs w:val="20"/>
          <w:rtl w:val="0"/>
          <w:lang w:val="en-US"/>
        </w:rPr>
        <w:t xml:space="preserve"> [boldmine] </w:t>
      </w:r>
    </w:p>
    <w:p>
      <w:pPr>
        <w:pStyle w:val="Default"/>
        <w:spacing w:before="0" w:line="240" w:lineRule="auto"/>
        <w:jc w:val="left"/>
        <w:rPr>
          <w:rFonts w:ascii="Times New Roman" w:cs="Times New Roman" w:hAnsi="Times New Roman" w:eastAsia="Times New Roman"/>
          <w:sz w:val="20"/>
          <w:szCs w:val="20"/>
          <w:lang w:val="en-US"/>
        </w:rPr>
      </w:pPr>
      <w:r>
        <w:rPr>
          <w:rFonts w:ascii="Times New Roman" w:hAnsi="Times New Roman" w:hint="default"/>
          <w:b w:val="1"/>
          <w:bCs w:val="1"/>
          <w:sz w:val="20"/>
          <w:szCs w:val="20"/>
          <w:rtl w:val="0"/>
          <w:lang w:val="en-US"/>
        </w:rPr>
        <w:t>“</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Even Roman Catholic scholars through the Reformation period made the distinction between the Apocrypha and the canon</w:t>
      </w:r>
      <w:r>
        <w:rPr>
          <w:rFonts w:ascii="Times New Roman" w:hAnsi="Times New Roman"/>
          <w:b w:val="1"/>
          <w:bCs w:val="1"/>
          <w:sz w:val="20"/>
          <w:szCs w:val="20"/>
          <w:rtl w:val="0"/>
          <w:lang w:val="en-US"/>
        </w:rPr>
        <w:t>.</w:t>
      </w:r>
      <w:r>
        <w:rPr>
          <w:rFonts w:ascii="Times New Roman" w:hAnsi="Times New Roman"/>
          <w:sz w:val="20"/>
          <w:szCs w:val="20"/>
          <w:rtl w:val="0"/>
          <w:lang w:val="en-US"/>
        </w:rPr>
        <w:t xml:space="preserve"> Cardinal Ximenes made this distinction in his </w:t>
      </w:r>
      <w:r>
        <w:rPr>
          <w:rFonts w:ascii="Times New Roman" w:hAnsi="Times New Roman"/>
          <w:i w:val="1"/>
          <w:iCs w:val="1"/>
          <w:sz w:val="20"/>
          <w:szCs w:val="20"/>
          <w:rtl w:val="0"/>
          <w:lang w:val="en-US"/>
        </w:rPr>
        <w:t>Complutensian Polyglot</w:t>
      </w:r>
      <w:r>
        <w:rPr>
          <w:rFonts w:ascii="Times New Roman" w:hAnsi="Times New Roman"/>
          <w:sz w:val="20"/>
          <w:szCs w:val="20"/>
          <w:rtl w:val="0"/>
          <w:lang w:val="en-US"/>
        </w:rPr>
        <w:t xml:space="preserve"> (1514-17) on the very eve of the Reformation. Cardinal Cajetan, who opposed Luther at Augsburg in 1518, published a </w:t>
      </w:r>
      <w:r>
        <w:rPr>
          <w:rFonts w:ascii="Times New Roman" w:hAnsi="Times New Roman"/>
          <w:i w:val="1"/>
          <w:iCs w:val="1"/>
          <w:sz w:val="20"/>
          <w:szCs w:val="20"/>
          <w:rtl w:val="0"/>
          <w:lang w:val="en-US"/>
        </w:rPr>
        <w:t>Commentary on all the Authentic Historical Books of the Old Testament</w:t>
      </w:r>
      <w:r>
        <w:rPr>
          <w:rFonts w:ascii="Times New Roman" w:hAnsi="Times New Roman"/>
          <w:sz w:val="20"/>
          <w:szCs w:val="20"/>
          <w:rtl w:val="0"/>
          <w:lang w:val="en-US"/>
        </w:rPr>
        <w:t xml:space="preserve"> that did not include the Apocrypha in </w:t>
      </w:r>
      <w:r>
        <w:rPr>
          <w:rFonts w:ascii="Times New Roman" w:hAnsi="Times New Roman"/>
          <w:smallCaps w:val="1"/>
          <w:sz w:val="20"/>
          <w:szCs w:val="20"/>
          <w:rtl w:val="0"/>
          <w:lang w:val="en-US"/>
        </w:rPr>
        <w:t>A.D.</w:t>
      </w:r>
      <w:r>
        <w:rPr>
          <w:rFonts w:ascii="Times New Roman" w:hAnsi="Times New Roman"/>
          <w:sz w:val="20"/>
          <w:szCs w:val="20"/>
          <w:rtl w:val="0"/>
          <w:lang w:val="en-US"/>
        </w:rPr>
        <w:t xml:space="preserve"> 1532.</w:t>
      </w:r>
      <w:r>
        <w:rPr>
          <w:rFonts w:ascii="Times New Roman" w:hAnsi="Times New Roman" w:hint="default"/>
          <w:sz w:val="20"/>
          <w:szCs w:val="20"/>
          <w:rtl w:val="0"/>
          <w:lang w:val="en-US"/>
        </w:rPr>
        <w:t xml:space="preserve">” </w:t>
      </w:r>
      <w:r>
        <w:rPr>
          <w:rFonts w:ascii="Times New Roman" w:hAnsi="Times New Roman"/>
          <w:sz w:val="20"/>
          <w:szCs w:val="20"/>
          <w:rtl w:val="0"/>
          <w:lang w:val="en-US"/>
        </w:rPr>
        <w:t>GIB, p. 172.</w:t>
      </w:r>
    </w:p>
    <w:p>
      <w:pPr>
        <w:pStyle w:val="Default"/>
        <w:spacing w:before="0" w:line="240" w:lineRule="auto"/>
        <w:ind w:left="360"/>
        <w:jc w:val="left"/>
        <w:rPr>
          <w:rFonts w:ascii="Times New Roman" w:cs="Times New Roman" w:hAnsi="Times New Roman" w:eastAsia="Times New Roman"/>
          <w:sz w:val="20"/>
          <w:szCs w:val="20"/>
          <w:lang w:val="en-US"/>
        </w:rPr>
      </w:pP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Compare this to the note in the Catholic Bible at the end of Daniel that says </w:t>
      </w:r>
      <w:r>
        <w:rPr>
          <w:rStyle w:val="green highlight TNR12"/>
          <w:rFonts w:ascii="Times New Roman" w:cs="Arial Unicode MS" w:hAnsi="Times New Roman" w:eastAsia="Arial Unicode MS" w:hint="default"/>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these sections </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have</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ever been held in the Catholic Church.</w:t>
      </w:r>
      <w:r>
        <w:rPr>
          <w:rStyle w:val="green highlight TNR12"/>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Is it purposely misrepresenting facts? [bold mine] </w:t>
      </w:r>
    </w:p>
    <w:p>
      <w:pPr>
        <w:pStyle w:val="Default"/>
        <w:spacing w:before="0" w:line="240" w:lineRule="auto"/>
        <w:jc w:val="left"/>
        <w:rPr>
          <w:rFonts w:ascii="Times New Roman" w:cs="Times New Roman" w:hAnsi="Times New Roman" w:eastAsia="Times New Roman"/>
          <w:sz w:val="20"/>
          <w:szCs w:val="20"/>
          <w:lang w:val="en-US"/>
        </w:rPr>
      </w:pPr>
    </w:p>
    <w:p>
      <w:pPr>
        <w:pStyle w:val="Default"/>
        <w:spacing w:before="0" w:line="240" w:lineRule="auto"/>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w:t>
      </w:r>
      <w:r>
        <w:rPr>
          <w:rFonts w:ascii="Times New Roman" w:hAnsi="Times New Roman"/>
          <w:b w:val="1"/>
          <w:bCs w:val="1"/>
          <w:sz w:val="20"/>
          <w:szCs w:val="20"/>
          <w:rtl w:val="0"/>
          <w:lang w:val="en-US"/>
        </w:rPr>
        <w:t>Augustine</w:t>
      </w:r>
      <w:r>
        <w:rPr>
          <w:rFonts w:ascii="Times New Roman" w:hAnsi="Times New Roman"/>
          <w:sz w:val="20"/>
          <w:szCs w:val="20"/>
          <w:rtl w:val="0"/>
          <w:lang w:val="en-US"/>
        </w:rPr>
        <w:t xml:space="preserve"> [</w:t>
      </w:r>
      <w:r>
        <w:rPr>
          <w:rFonts w:ascii="Times New Roman" w:hAnsi="Times New Roman"/>
          <w:b w:val="1"/>
          <w:bCs w:val="1"/>
          <w:sz w:val="20"/>
          <w:szCs w:val="20"/>
          <w:rtl w:val="0"/>
          <w:lang w:val="en-US"/>
        </w:rPr>
        <w:t xml:space="preserve">354-430 </w:t>
      </w:r>
      <w:r>
        <w:rPr>
          <w:rFonts w:ascii="Times New Roman" w:hAnsi="Times New Roman"/>
          <w:b w:val="1"/>
          <w:bCs w:val="1"/>
          <w:smallCaps w:val="1"/>
          <w:sz w:val="20"/>
          <w:szCs w:val="20"/>
          <w:rtl w:val="0"/>
          <w:lang w:val="en-US"/>
        </w:rPr>
        <w:t>ad</w:t>
      </w:r>
      <w:r>
        <w:rPr>
          <w:rFonts w:ascii="Times New Roman" w:hAnsi="Times New Roman"/>
          <w:sz w:val="20"/>
          <w:szCs w:val="20"/>
          <w:rtl w:val="0"/>
          <w:lang w:val="en-US"/>
        </w:rPr>
        <w:t xml:space="preserve">, srf] is the </w:t>
      </w:r>
      <w:r>
        <w:rPr>
          <w:rFonts w:ascii="Times New Roman" w:hAnsi="Times New Roman"/>
          <w:b w:val="1"/>
          <w:bCs w:val="1"/>
          <w:sz w:val="20"/>
          <w:szCs w:val="20"/>
          <w:rtl w:val="0"/>
          <w:lang w:val="en-US"/>
        </w:rPr>
        <w:t>single significant voice of antiquity that recognized the Apocrypha</w:t>
      </w:r>
      <w:r>
        <w:rPr>
          <w:rFonts w:ascii="Times New Roman" w:hAnsi="Times New Roman"/>
          <w:sz w:val="20"/>
          <w:szCs w:val="20"/>
          <w:rtl w:val="0"/>
          <w:lang w:val="en-US"/>
        </w:rPr>
        <w:t>.</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[boldmine] </w:t>
      </w:r>
      <w:r>
        <w:rPr>
          <w:rFonts w:ascii="Times New Roman" w:hAnsi="Times New Roman"/>
          <w:sz w:val="20"/>
          <w:szCs w:val="20"/>
          <w:rtl w:val="0"/>
          <w:lang w:val="en-US"/>
        </w:rPr>
        <w:t xml:space="preserve">But, 1) </w:t>
      </w:r>
      <w:r>
        <w:rPr>
          <w:rFonts w:ascii="Times New Roman" w:hAnsi="Times New Roman"/>
          <w:b w:val="1"/>
          <w:bCs w:val="1"/>
          <w:sz w:val="20"/>
          <w:szCs w:val="20"/>
          <w:rtl w:val="0"/>
          <w:lang w:val="en-US"/>
        </w:rPr>
        <w:t>even he rejected some</w:t>
      </w:r>
      <w:r>
        <w:rPr>
          <w:rFonts w:ascii="Times New Roman" w:hAnsi="Times New Roman"/>
          <w:sz w:val="20"/>
          <w:szCs w:val="20"/>
          <w:rtl w:val="0"/>
          <w:lang w:val="en-US"/>
        </w:rPr>
        <w:t xml:space="preserve"> of them, 2) he was </w:t>
      </w:r>
      <w:r>
        <w:rPr>
          <w:rFonts w:ascii="Times New Roman" w:hAnsi="Times New Roman"/>
          <w:b w:val="1"/>
          <w:bCs w:val="1"/>
          <w:sz w:val="20"/>
          <w:szCs w:val="20"/>
          <w:rtl w:val="0"/>
          <w:lang w:val="en-US"/>
        </w:rPr>
        <w:t>not a trained Hebrew scholar</w:t>
      </w:r>
      <w:r>
        <w:rPr>
          <w:rFonts w:ascii="Times New Roman" w:hAnsi="Times New Roman"/>
          <w:sz w:val="20"/>
          <w:szCs w:val="20"/>
          <w:rtl w:val="0"/>
          <w:lang w:val="en-US"/>
        </w:rPr>
        <w:t xml:space="preserve">, 3) he </w:t>
      </w:r>
      <w:r>
        <w:rPr>
          <w:rFonts w:ascii="Times New Roman" w:hAnsi="Times New Roman"/>
          <w:b w:val="1"/>
          <w:bCs w:val="1"/>
          <w:sz w:val="20"/>
          <w:szCs w:val="20"/>
          <w:rtl w:val="0"/>
          <w:lang w:val="en-US"/>
        </w:rPr>
        <w:t>later acknowledged the superiority of Jerome</w:t>
      </w:r>
      <w:r>
        <w:rPr>
          <w:rFonts w:ascii="Times New Roman" w:hAnsi="Times New Roman" w:hint="default"/>
          <w:b w:val="1"/>
          <w:bCs w:val="1"/>
          <w:sz w:val="20"/>
          <w:szCs w:val="20"/>
          <w:rtl w:val="0"/>
          <w:lang w:val="en-US"/>
        </w:rPr>
        <w:t>’</w:t>
      </w:r>
      <w:r>
        <w:rPr>
          <w:rFonts w:ascii="Times New Roman" w:hAnsi="Times New Roman"/>
          <w:b w:val="1"/>
          <w:bCs w:val="1"/>
          <w:sz w:val="20"/>
          <w:szCs w:val="20"/>
          <w:rtl w:val="0"/>
          <w:lang w:val="en-US"/>
        </w:rPr>
        <w:t xml:space="preserve">s Hebrew text, which did </w:t>
      </w:r>
      <w:r>
        <w:rPr>
          <w:rFonts w:ascii="Times New Roman" w:hAnsi="Times New Roman"/>
          <w:b w:val="1"/>
          <w:bCs w:val="1"/>
          <w:i w:val="1"/>
          <w:iCs w:val="1"/>
          <w:sz w:val="20"/>
          <w:szCs w:val="20"/>
          <w:rtl w:val="0"/>
          <w:lang w:val="en-US"/>
        </w:rPr>
        <w:t>not</w:t>
      </w:r>
      <w:r>
        <w:rPr>
          <w:rFonts w:ascii="Times New Roman" w:hAnsi="Times New Roman"/>
          <w:b w:val="1"/>
          <w:bCs w:val="1"/>
          <w:sz w:val="20"/>
          <w:szCs w:val="20"/>
          <w:rtl w:val="0"/>
          <w:lang w:val="en-US"/>
        </w:rPr>
        <w:t xml:space="preserve"> include the </w:t>
      </w:r>
      <w:r>
        <w:rPr>
          <w:rFonts w:ascii="Times New Roman" w:hAnsi="Times New Roman"/>
          <w:b w:val="1"/>
          <w:bCs w:val="1"/>
          <w:sz w:val="20"/>
          <w:szCs w:val="20"/>
          <w:rtl w:val="0"/>
          <w:lang w:val="en-US"/>
        </w:rPr>
        <w:t>Apocrypha</w:t>
      </w:r>
      <w:r>
        <w:rPr>
          <w:rFonts w:ascii="Times New Roman" w:hAnsi="Times New Roman"/>
          <w:sz w:val="20"/>
          <w:szCs w:val="20"/>
          <w:rtl w:val="0"/>
          <w:lang w:val="en-US"/>
        </w:rPr>
        <w:t xml:space="preserve">. Augustine accepted the Apocrypha </w:t>
      </w:r>
      <w:r>
        <w:rPr>
          <w:rFonts w:ascii="Times New Roman" w:hAnsi="Times New Roman"/>
          <w:b w:val="1"/>
          <w:bCs w:val="1"/>
          <w:sz w:val="20"/>
          <w:szCs w:val="20"/>
          <w:rtl w:val="0"/>
          <w:lang w:val="en-US"/>
        </w:rPr>
        <w:t>because he viewed the LXX as inspired,</w:t>
      </w:r>
      <w:r>
        <w:rPr>
          <w:rFonts w:ascii="Times New Roman" w:hAnsi="Times New Roman"/>
          <w:sz w:val="20"/>
          <w:szCs w:val="20"/>
          <w:rtl w:val="0"/>
          <w:lang w:val="en-US"/>
        </w:rPr>
        <w:t xml:space="preserve"> but he </w:t>
      </w:r>
      <w:r>
        <w:rPr>
          <w:rFonts w:ascii="Times New Roman" w:hAnsi="Times New Roman"/>
          <w:b w:val="1"/>
          <w:bCs w:val="1"/>
          <w:sz w:val="20"/>
          <w:szCs w:val="20"/>
          <w:rtl w:val="0"/>
          <w:lang w:val="en-US"/>
        </w:rPr>
        <w:t>later acknowledged it was not</w:t>
      </w:r>
      <w:r>
        <w:rPr>
          <w:rFonts w:ascii="Times New Roman" w:hAnsi="Times New Roman"/>
          <w:sz w:val="20"/>
          <w:szCs w:val="20"/>
          <w:rtl w:val="0"/>
          <w:lang w:val="en-US"/>
        </w:rPr>
        <w:t>. GIB, p. 171.</w:t>
      </w:r>
      <w:r>
        <w:rPr>
          <w:rFonts w:ascii="Times New Roman" w:hAnsi="Times New Roman"/>
          <w:sz w:val="20"/>
          <w:szCs w:val="20"/>
          <w:rtl w:val="0"/>
          <w:lang w:val="en-US"/>
        </w:rPr>
        <w:t xml:space="preserve"> [bold mine] </w:t>
      </w:r>
    </w:p>
    <w:p>
      <w:pPr>
        <w:pStyle w:val="Default"/>
        <w:keepNext w:val="1"/>
        <w:spacing w:before="240" w:after="60" w:line="240" w:lineRule="auto"/>
        <w:jc w:val="left"/>
        <w:outlineLvl w:val="1"/>
        <w:rPr>
          <w:rFonts w:ascii="Helvetica" w:cs="Helvetica" w:hAnsi="Helvetica" w:eastAsia="Helvetica"/>
          <w:b w:val="1"/>
          <w:bCs w:val="1"/>
          <w:i w:val="1"/>
          <w:iCs w:val="1"/>
          <w:lang w:val="en-US"/>
        </w:rPr>
      </w:pPr>
      <w:r>
        <w:rPr>
          <w:rFonts w:ascii="Helvetica" w:hAnsi="Helvetica"/>
          <w:b w:val="1"/>
          <w:bCs w:val="1"/>
          <w:i w:val="1"/>
          <w:iCs w:val="1"/>
          <w:rtl w:val="0"/>
          <w:lang w:val="en-US"/>
        </w:rPr>
        <w:t>Why is it not in our Bible?</w:t>
      </w:r>
    </w:p>
    <w:p>
      <w:pPr>
        <w:pStyle w:val="Default"/>
        <w:numPr>
          <w:ilvl w:val="0"/>
          <w:numId w:val="6"/>
        </w:numPr>
        <w:suppressAutoHyphens w:val="1"/>
        <w:spacing w:before="0" w:line="240" w:lineRule="auto"/>
        <w:jc w:val="left"/>
        <w:rPr>
          <w:rFonts w:ascii="Times New Roman" w:hAnsi="Times New Roman"/>
          <w:lang w:val="en-US"/>
        </w:rPr>
      </w:pPr>
      <w:r>
        <w:rPr>
          <w:rFonts w:ascii="Times New Roman" w:hAnsi="Times New Roman"/>
          <w:rtl w:val="0"/>
          <w:lang w:val="en-US"/>
        </w:rPr>
        <w:t xml:space="preserve">Why were the writings Timothy learned as a child </w:t>
      </w:r>
      <w:r>
        <w:rPr>
          <w:rFonts w:ascii="Times New Roman" w:hAnsi="Times New Roman" w:hint="default"/>
          <w:rtl w:val="1"/>
          <w:lang w:val="ar-SA" w:bidi="ar-SA"/>
        </w:rPr>
        <w:t>“</w:t>
      </w:r>
      <w:r>
        <w:rPr>
          <w:rFonts w:ascii="Times New Roman" w:hAnsi="Times New Roman"/>
          <w:rtl w:val="0"/>
          <w:lang w:val="pt-PT"/>
        </w:rPr>
        <w:t>sacred</w:t>
      </w:r>
      <w:r>
        <w:rPr>
          <w:rFonts w:ascii="Times New Roman" w:hAnsi="Times New Roman" w:hint="default"/>
          <w:rtl w:val="0"/>
        </w:rPr>
        <w:t xml:space="preserve">” </w:t>
      </w:r>
      <w:r>
        <w:rPr>
          <w:rFonts w:ascii="Times New Roman" w:hAnsi="Times New Roman"/>
          <w:rtl w:val="0"/>
        </w:rPr>
        <w:t>(</w:t>
      </w:r>
      <w:r>
        <w:rPr>
          <w:rFonts w:ascii="Times New Roman" w:hAnsi="Times New Roman" w:hint="default"/>
          <w:rtl w:val="1"/>
          <w:lang w:val="ar-SA" w:bidi="ar-SA"/>
        </w:rPr>
        <w:t>“</w:t>
      </w:r>
      <w:r>
        <w:rPr>
          <w:rFonts w:ascii="Times New Roman" w:hAnsi="Times New Roman"/>
          <w:rtl w:val="0"/>
        </w:rPr>
        <w:t>holy</w:t>
      </w:r>
      <w:r>
        <w:rPr>
          <w:rFonts w:ascii="Times New Roman" w:hAnsi="Times New Roman" w:hint="default"/>
          <w:rtl w:val="0"/>
        </w:rPr>
        <w:t xml:space="preserve">” </w:t>
      </w:r>
      <w:r>
        <w:rPr>
          <w:rFonts w:ascii="Times New Roman" w:hAnsi="Times New Roman"/>
          <w:rtl w:val="0"/>
          <w:lang w:val="en-US"/>
        </w:rPr>
        <w:t xml:space="preserve">NKJV), worthy of </w:t>
      </w:r>
      <w:r>
        <w:rPr>
          <w:rFonts w:ascii="Times New Roman" w:hAnsi="Times New Roman" w:hint="default"/>
          <w:rtl w:val="1"/>
          <w:lang w:val="ar-SA" w:bidi="ar-SA"/>
        </w:rPr>
        <w:t>“</w:t>
      </w:r>
      <w:r>
        <w:rPr>
          <w:rFonts w:ascii="Times New Roman" w:hAnsi="Times New Roman"/>
          <w:rtl w:val="0"/>
          <w:lang w:val="en-US"/>
        </w:rPr>
        <w:t>continuing</w:t>
      </w:r>
      <w:r>
        <w:rPr>
          <w:rFonts w:ascii="Times New Roman" w:hAnsi="Times New Roman" w:hint="default"/>
          <w:rtl w:val="0"/>
        </w:rPr>
        <w:t xml:space="preserve">” </w:t>
      </w:r>
      <w:r>
        <w:rPr>
          <w:rFonts w:ascii="Times New Roman" w:hAnsi="Times New Roman"/>
          <w:rtl w:val="0"/>
          <w:lang w:val="en-US"/>
        </w:rPr>
        <w:t xml:space="preserve">reading and study, and </w:t>
      </w:r>
      <w:r>
        <w:rPr>
          <w:rFonts w:ascii="Times New Roman" w:hAnsi="Times New Roman" w:hint="default"/>
          <w:rtl w:val="1"/>
          <w:lang w:val="ar-SA" w:bidi="ar-SA"/>
        </w:rPr>
        <w:t>“</w:t>
      </w:r>
      <w:r>
        <w:rPr>
          <w:rFonts w:ascii="Times New Roman" w:hAnsi="Times New Roman"/>
          <w:rtl w:val="0"/>
          <w:lang w:val="en-US"/>
        </w:rPr>
        <w:t>profitable</w:t>
      </w:r>
      <w:r>
        <w:rPr>
          <w:rFonts w:ascii="Times New Roman" w:hAnsi="Times New Roman" w:hint="default"/>
          <w:rtl w:val="0"/>
        </w:rPr>
        <w:t xml:space="preserve">” </w:t>
      </w:r>
      <w:r>
        <w:rPr>
          <w:rFonts w:ascii="Times New Roman" w:hAnsi="Times New Roman"/>
          <w:rtl w:val="0"/>
        </w:rPr>
        <w:t xml:space="preserve">for </w:t>
      </w:r>
      <w:r>
        <w:rPr>
          <w:rFonts w:ascii="Times New Roman" w:hAnsi="Times New Roman" w:hint="default"/>
          <w:rtl w:val="1"/>
          <w:lang w:val="ar-SA" w:bidi="ar-SA"/>
        </w:rPr>
        <w:t>“</w:t>
      </w:r>
      <w:r>
        <w:rPr>
          <w:rFonts w:ascii="Times New Roman" w:hAnsi="Times New Roman"/>
          <w:rtl w:val="0"/>
          <w:lang w:val="en-US"/>
        </w:rPr>
        <w:t>teaching,</w:t>
      </w:r>
      <w:r>
        <w:rPr>
          <w:rFonts w:ascii="Times New Roman" w:hAnsi="Times New Roman" w:hint="default"/>
          <w:rtl w:val="0"/>
        </w:rPr>
        <w:t>” “</w:t>
      </w:r>
      <w:r>
        <w:rPr>
          <w:rFonts w:ascii="Times New Roman" w:hAnsi="Times New Roman"/>
          <w:rtl w:val="0"/>
          <w:lang w:val="en-US"/>
        </w:rPr>
        <w:t>reproof,</w:t>
      </w:r>
      <w:r>
        <w:rPr>
          <w:rFonts w:ascii="Times New Roman" w:hAnsi="Times New Roman" w:hint="default"/>
          <w:rtl w:val="0"/>
        </w:rPr>
        <w:t>” “</w:t>
      </w:r>
      <w:r>
        <w:rPr>
          <w:rFonts w:ascii="Times New Roman" w:hAnsi="Times New Roman"/>
          <w:rtl w:val="0"/>
          <w:lang w:val="fr-FR"/>
        </w:rPr>
        <w:t>correction,</w:t>
      </w:r>
      <w:r>
        <w:rPr>
          <w:rFonts w:ascii="Times New Roman" w:hAnsi="Times New Roman" w:hint="default"/>
          <w:rtl w:val="0"/>
        </w:rPr>
        <w:t>” “</w:t>
      </w:r>
      <w:r>
        <w:rPr>
          <w:rFonts w:ascii="Times New Roman" w:hAnsi="Times New Roman"/>
          <w:rtl w:val="0"/>
          <w:lang w:val="en-US"/>
        </w:rPr>
        <w:t>training</w:t>
      </w:r>
      <w:r>
        <w:rPr>
          <w:rFonts w:ascii="Times New Roman" w:hAnsi="Times New Roman" w:hint="default"/>
          <w:rtl w:val="0"/>
        </w:rPr>
        <w:t xml:space="preserve">” </w:t>
      </w:r>
      <w:r>
        <w:rPr>
          <w:rFonts w:ascii="Times New Roman" w:hAnsi="Times New Roman"/>
          <w:rtl w:val="0"/>
          <w:lang w:val="en-US"/>
        </w:rPr>
        <w:t xml:space="preserve">in righteousness?  </w:t>
      </w:r>
      <w:r>
        <w:rPr>
          <w:rStyle w:val="ref"/>
          <w:rFonts w:ascii="Times New Roman" w:hAnsi="Times New Roman"/>
          <w:shd w:val="nil" w:color="auto" w:fill="auto"/>
          <w:rtl w:val="0"/>
          <w:lang w:val="de-DE"/>
        </w:rPr>
        <w:t>2Tim 3:14-17</w:t>
      </w:r>
      <w:r>
        <w:rPr>
          <w:rFonts w:ascii="Times New Roman" w:hAnsi="Times New Roman"/>
          <w:rtl w:val="0"/>
        </w:rPr>
        <w:t xml:space="preserve">. </w:t>
      </w:r>
      <w:r>
        <w:rPr>
          <w:rFonts w:ascii="Times New Roman" w:hAnsi="Times New Roman"/>
          <w:sz w:val="20"/>
          <w:szCs w:val="20"/>
          <w:rtl w:val="0"/>
          <w:lang w:val="en-US"/>
        </w:rPr>
        <w:t xml:space="preserve">Because they were </w:t>
      </w:r>
      <w:r>
        <w:rPr>
          <w:rFonts w:ascii="Times New Roman" w:hAnsi="Times New Roman" w:hint="default"/>
          <w:sz w:val="20"/>
          <w:szCs w:val="20"/>
          <w:rtl w:val="0"/>
          <w:lang w:val="en-US"/>
        </w:rPr>
        <w:t>“</w:t>
      </w:r>
      <w:r>
        <w:rPr>
          <w:rFonts w:ascii="Times New Roman" w:hAnsi="Times New Roman"/>
          <w:sz w:val="20"/>
          <w:szCs w:val="20"/>
          <w:rtl w:val="0"/>
          <w:lang w:val="en-US"/>
        </w:rPr>
        <w:t>inspired by God</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(Lit </w:t>
      </w:r>
      <w:r>
        <w:rPr>
          <w:rFonts w:ascii="Times New Roman" w:hAnsi="Times New Roman"/>
          <w:i w:val="1"/>
          <w:iCs w:val="1"/>
          <w:sz w:val="20"/>
          <w:szCs w:val="20"/>
          <w:rtl w:val="0"/>
          <w:lang w:val="en-US"/>
        </w:rPr>
        <w:t>God-breathed</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NAS95 ftnt; </w:t>
      </w:r>
      <w:r>
        <w:rPr>
          <w:rFonts w:ascii="Times New Roman" w:hAnsi="Times New Roman" w:hint="default"/>
          <w:sz w:val="20"/>
          <w:szCs w:val="20"/>
          <w:rtl w:val="0"/>
          <w:lang w:val="en-US"/>
        </w:rPr>
        <w:t>“</w:t>
      </w:r>
      <w:r>
        <w:rPr>
          <w:rFonts w:ascii="Times New Roman" w:hAnsi="Times New Roman"/>
          <w:sz w:val="20"/>
          <w:szCs w:val="20"/>
          <w:rtl w:val="0"/>
          <w:lang w:val="en-US"/>
        </w:rPr>
        <w:t>given by inspiration of God</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NKJV; </w:t>
      </w:r>
      <w:r>
        <w:rPr>
          <w:rFonts w:ascii="Times New Roman" w:hAnsi="Times New Roman" w:hint="default"/>
          <w:sz w:val="20"/>
          <w:szCs w:val="20"/>
          <w:rtl w:val="0"/>
          <w:lang w:val="en-US"/>
        </w:rPr>
        <w:t>“</w:t>
      </w:r>
      <w:r>
        <w:rPr>
          <w:rFonts w:ascii="Times New Roman" w:hAnsi="Times New Roman"/>
          <w:sz w:val="20"/>
          <w:szCs w:val="20"/>
          <w:rtl w:val="0"/>
          <w:lang w:val="en-US"/>
        </w:rPr>
        <w:t>breathed out by God</w:t>
      </w:r>
      <w:r>
        <w:rPr>
          <w:rFonts w:ascii="Times New Roman" w:hAnsi="Times New Roman" w:hint="default"/>
          <w:sz w:val="20"/>
          <w:szCs w:val="20"/>
          <w:rtl w:val="0"/>
          <w:lang w:val="en-US"/>
        </w:rPr>
        <w:t xml:space="preserve">” </w:t>
      </w:r>
      <w:r>
        <w:rPr>
          <w:rFonts w:ascii="Times New Roman" w:hAnsi="Times New Roman"/>
          <w:sz w:val="20"/>
          <w:szCs w:val="20"/>
          <w:rtl w:val="0"/>
          <w:lang w:val="en-US"/>
        </w:rPr>
        <w:t>ESV</w:t>
      </w:r>
      <w:r>
        <w:rPr>
          <w:rFonts w:ascii="Times New Roman" w:hAnsi="Times New Roman" w:hint="default"/>
          <w:sz w:val="20"/>
          <w:szCs w:val="20"/>
          <w:rtl w:val="0"/>
          <w:lang w:val="en-US"/>
        </w:rPr>
        <w:t>—</w:t>
      </w:r>
      <w:r>
        <w:rPr>
          <w:rFonts w:ascii="Times New Roman" w:hAnsi="Times New Roman"/>
          <w:sz w:val="20"/>
          <w:szCs w:val="20"/>
          <w:rtl w:val="0"/>
          <w:lang w:val="en-US"/>
        </w:rPr>
        <w:t xml:space="preserve">i.e. because they are the words of God delivered through true prophets - see </w:t>
      </w:r>
      <w:r>
        <w:rPr>
          <w:rStyle w:val="ref 10 pt"/>
          <w:rFonts w:ascii="Times New Roman" w:hAnsi="Times New Roman"/>
          <w:shd w:val="nil" w:color="auto" w:fill="auto"/>
          <w:rtl w:val="0"/>
          <w:lang w:val="en-US"/>
        </w:rPr>
        <w:t>Ex 7:1-2; Jer 23:16,21,25-26,37</w:t>
      </w:r>
      <w:r>
        <w:rPr>
          <w:rFonts w:ascii="Times New Roman" w:hAnsi="Times New Roman"/>
          <w:sz w:val="20"/>
          <w:szCs w:val="20"/>
          <w:rtl w:val="0"/>
          <w:lang w:val="en-US"/>
        </w:rPr>
        <w:t>)</w:t>
      </w:r>
    </w:p>
    <w:p>
      <w:pPr>
        <w:pStyle w:val="Default"/>
        <w:suppressAutoHyphens w:val="1"/>
        <w:spacing w:before="0" w:line="240" w:lineRule="auto"/>
        <w:jc w:val="left"/>
        <w:rPr>
          <w:rFonts w:ascii="Times New Roman" w:cs="Times New Roman" w:hAnsi="Times New Roman" w:eastAsia="Times New Roman"/>
        </w:rPr>
      </w:pPr>
    </w:p>
    <w:p>
      <w:pPr>
        <w:pStyle w:val="Default"/>
        <w:numPr>
          <w:ilvl w:val="1"/>
          <w:numId w:val="6"/>
        </w:numPr>
        <w:suppressAutoHyphens w:val="1"/>
        <w:spacing w:before="0" w:line="240" w:lineRule="auto"/>
        <w:jc w:val="left"/>
        <w:rPr>
          <w:rFonts w:ascii="Times New Roman" w:hAnsi="Times New Roman"/>
          <w:b w:val="1"/>
          <w:bCs w:val="1"/>
          <w:lang w:val="en-US"/>
        </w:rPr>
      </w:pPr>
      <w:r>
        <w:rPr>
          <w:rFonts w:ascii="Times New Roman" w:hAnsi="Times New Roman"/>
          <w:b w:val="0"/>
          <w:bCs w:val="0"/>
          <w:rtl w:val="0"/>
          <w:lang w:val="en-US"/>
        </w:rPr>
        <w:t xml:space="preserve">Compare how Jesus and the apostles appealed to these very </w:t>
      </w:r>
      <w:r>
        <w:rPr>
          <w:rFonts w:ascii="Times New Roman" w:hAnsi="Times New Roman" w:hint="default"/>
          <w:b w:val="0"/>
          <w:bCs w:val="0"/>
          <w:rtl w:val="1"/>
          <w:lang w:val="ar-SA" w:bidi="ar-SA"/>
        </w:rPr>
        <w:t>“</w:t>
      </w:r>
      <w:r>
        <w:rPr>
          <w:rFonts w:ascii="Times New Roman" w:hAnsi="Times New Roman"/>
          <w:b w:val="0"/>
          <w:bCs w:val="0"/>
          <w:rtl w:val="0"/>
          <w:lang w:val="fr-FR"/>
        </w:rPr>
        <w:t>Scriptures</w:t>
      </w:r>
      <w:r>
        <w:rPr>
          <w:rFonts w:ascii="Times New Roman" w:hAnsi="Times New Roman" w:hint="default"/>
          <w:b w:val="0"/>
          <w:bCs w:val="0"/>
          <w:sz w:val="22"/>
          <w:szCs w:val="22"/>
          <w:rtl w:val="0"/>
        </w:rPr>
        <w:t xml:space="preserve">” </w:t>
      </w:r>
      <w:r>
        <w:rPr>
          <w:rFonts w:ascii="Times New Roman" w:hAnsi="Times New Roman"/>
          <w:b w:val="0"/>
          <w:bCs w:val="0"/>
          <w:sz w:val="22"/>
          <w:szCs w:val="22"/>
          <w:rtl w:val="0"/>
          <w:lang w:val="en-US"/>
        </w:rPr>
        <w:t xml:space="preserve">as </w:t>
      </w:r>
      <w:r>
        <w:rPr>
          <w:rFonts w:ascii="Times New Roman" w:hAnsi="Times New Roman"/>
          <w:b w:val="0"/>
          <w:bCs w:val="0"/>
          <w:rtl w:val="0"/>
          <w:lang w:val="en-US"/>
        </w:rPr>
        <w:t xml:space="preserve">the standard of truth, faith, and conduct - </w:t>
      </w:r>
      <w:r>
        <w:rPr>
          <w:rStyle w:val="ref"/>
          <w:rFonts w:ascii="Times New Roman" w:cs="Arial Unicode MS" w:hAnsi="Times New Roman" w:eastAsia="Arial Unicode MS"/>
          <w:b w:val="1"/>
          <w:bCs w:val="1"/>
          <w:i w:val="0"/>
          <w:iCs w:val="0"/>
          <w:shd w:val="nil" w:color="auto" w:fill="auto"/>
          <w:rtl w:val="0"/>
        </w:rPr>
        <w:t>Lk 10:26; 24:25-27; Jn 5:39,45-47; 10:34-35; Ac 15:15; 17:2-3; Rom 15:9-12</w:t>
      </w:r>
      <w:r>
        <w:rPr>
          <w:rFonts w:ascii="Times New Roman" w:hAnsi="Times New Roman"/>
          <w:b w:val="0"/>
          <w:bCs w:val="0"/>
          <w:rtl w:val="0"/>
        </w:rPr>
        <w:t>.</w:t>
      </w:r>
    </w:p>
    <w:p>
      <w:pPr>
        <w:pStyle w:val="Default"/>
        <w:suppressAutoHyphens w:val="1"/>
        <w:spacing w:before="0" w:line="240" w:lineRule="auto"/>
        <w:jc w:val="left"/>
        <w:rPr>
          <w:rFonts w:ascii="Times New Roman" w:cs="Times New Roman" w:hAnsi="Times New Roman" w:eastAsia="Times New Roman"/>
          <w:b w:val="0"/>
          <w:bCs w:val="0"/>
        </w:rPr>
      </w:pPr>
    </w:p>
    <w:p>
      <w:pPr>
        <w:pStyle w:val="Default"/>
        <w:numPr>
          <w:ilvl w:val="1"/>
          <w:numId w:val="6"/>
        </w:numPr>
        <w:suppressAutoHyphens w:val="1"/>
        <w:spacing w:before="0" w:line="240" w:lineRule="auto"/>
        <w:jc w:val="left"/>
        <w:rPr>
          <w:rFonts w:ascii="Times New Roman" w:hAnsi="Times New Roman"/>
          <w:lang w:val="en-US"/>
        </w:rPr>
      </w:pPr>
      <w:r>
        <w:rPr>
          <w:rFonts w:ascii="Times New Roman" w:hAnsi="Times New Roman"/>
          <w:rtl w:val="0"/>
          <w:lang w:val="en-US"/>
        </w:rPr>
        <w:t xml:space="preserve">See </w:t>
      </w:r>
      <w:r>
        <w:rPr>
          <w:rStyle w:val="ref"/>
          <w:rFonts w:ascii="Times New Roman" w:hAnsi="Times New Roman"/>
          <w:shd w:val="nil" w:color="auto" w:fill="auto"/>
          <w:rtl w:val="0"/>
          <w:lang w:val="it-IT"/>
        </w:rPr>
        <w:t>Gal 1:1</w:t>
      </w:r>
      <w:r>
        <w:rPr>
          <w:rStyle w:val="ref"/>
          <w:rFonts w:ascii="Times New Roman" w:hAnsi="Times New Roman" w:hint="default"/>
          <w:shd w:val="nil" w:color="auto" w:fill="auto"/>
          <w:rtl w:val="0"/>
        </w:rPr>
        <w:t>…</w:t>
      </w:r>
      <w:r>
        <w:rPr>
          <w:rStyle w:val="ref"/>
          <w:rFonts w:ascii="Times New Roman" w:hAnsi="Times New Roman"/>
          <w:shd w:val="nil" w:color="auto" w:fill="auto"/>
          <w:rtl w:val="0"/>
        </w:rPr>
        <w:t>6:11; 1Co 1:1</w:t>
      </w:r>
      <w:r>
        <w:rPr>
          <w:rStyle w:val="ref"/>
          <w:rFonts w:ascii="Times New Roman" w:hAnsi="Times New Roman" w:hint="default"/>
          <w:shd w:val="nil" w:color="auto" w:fill="auto"/>
          <w:rtl w:val="0"/>
        </w:rPr>
        <w:t>…</w:t>
      </w:r>
      <w:r>
        <w:rPr>
          <w:rStyle w:val="ref"/>
          <w:rFonts w:ascii="Times New Roman" w:hAnsi="Times New Roman"/>
          <w:shd w:val="nil" w:color="auto" w:fill="auto"/>
          <w:rtl w:val="0"/>
        </w:rPr>
        <w:t>14:37-38</w:t>
      </w:r>
      <w:r>
        <w:rPr>
          <w:rStyle w:val="ref"/>
          <w:rFonts w:ascii="Times New Roman" w:hAnsi="Times New Roman" w:hint="default"/>
          <w:shd w:val="nil" w:color="auto" w:fill="auto"/>
          <w:rtl w:val="0"/>
        </w:rPr>
        <w:t>…</w:t>
      </w:r>
      <w:r>
        <w:rPr>
          <w:rStyle w:val="ref"/>
          <w:rFonts w:ascii="Times New Roman" w:hAnsi="Times New Roman"/>
          <w:shd w:val="nil" w:color="auto" w:fill="auto"/>
          <w:rtl w:val="0"/>
        </w:rPr>
        <w:t>16:21; Col 1:1</w:t>
      </w:r>
      <w:r>
        <w:rPr>
          <w:rStyle w:val="ref"/>
          <w:rFonts w:ascii="Times New Roman" w:hAnsi="Times New Roman" w:hint="default"/>
          <w:shd w:val="nil" w:color="auto" w:fill="auto"/>
          <w:rtl w:val="0"/>
        </w:rPr>
        <w:t>…</w:t>
      </w:r>
      <w:r>
        <w:rPr>
          <w:rStyle w:val="ref"/>
          <w:rFonts w:ascii="Times New Roman" w:hAnsi="Times New Roman"/>
          <w:shd w:val="nil" w:color="auto" w:fill="auto"/>
          <w:rtl w:val="0"/>
          <w:lang w:val="en-US"/>
        </w:rPr>
        <w:t>4:16; 1Th 2:13</w:t>
      </w:r>
      <w:r>
        <w:rPr>
          <w:rStyle w:val="ref"/>
          <w:rFonts w:ascii="Times New Roman" w:hAnsi="Times New Roman" w:hint="default"/>
          <w:shd w:val="nil" w:color="auto" w:fill="auto"/>
          <w:rtl w:val="0"/>
        </w:rPr>
        <w:t>…</w:t>
      </w:r>
      <w:r>
        <w:rPr>
          <w:rStyle w:val="ref"/>
          <w:rFonts w:ascii="Times New Roman" w:hAnsi="Times New Roman"/>
          <w:shd w:val="nil" w:color="auto" w:fill="auto"/>
          <w:rtl w:val="0"/>
        </w:rPr>
        <w:t>5:27; 2Th 2:2</w:t>
      </w:r>
      <w:r>
        <w:rPr>
          <w:rStyle w:val="ref"/>
          <w:rFonts w:ascii="Times New Roman" w:hAnsi="Times New Roman" w:hint="default"/>
          <w:shd w:val="nil" w:color="auto" w:fill="auto"/>
          <w:rtl w:val="0"/>
        </w:rPr>
        <w:t>…</w:t>
      </w:r>
      <w:r>
        <w:rPr>
          <w:rStyle w:val="ref"/>
          <w:rFonts w:ascii="Times New Roman" w:hAnsi="Times New Roman"/>
          <w:shd w:val="nil" w:color="auto" w:fill="auto"/>
          <w:rtl w:val="0"/>
        </w:rPr>
        <w:t>15,17</w:t>
      </w:r>
      <w:r>
        <w:rPr>
          <w:rFonts w:ascii="Times New Roman" w:hAnsi="Times New Roman"/>
          <w:rtl w:val="0"/>
          <w:lang w:val="en-US"/>
        </w:rPr>
        <w:t xml:space="preserve">. What was appealed to giving these particular letters </w:t>
      </w:r>
      <w:r>
        <w:rPr>
          <w:rFonts w:ascii="Times New Roman" w:hAnsi="Times New Roman"/>
          <w:rtl w:val="0"/>
          <w:lang w:val="en-US"/>
        </w:rPr>
        <w:t xml:space="preserve">the </w:t>
      </w:r>
      <w:r>
        <w:rPr>
          <w:rFonts w:ascii="Times New Roman" w:hAnsi="Times New Roman" w:hint="default"/>
          <w:rtl w:val="1"/>
          <w:lang w:val="ar-SA" w:bidi="ar-SA"/>
        </w:rPr>
        <w:t>“</w:t>
      </w:r>
      <w:r>
        <w:rPr>
          <w:rFonts w:ascii="Times New Roman" w:hAnsi="Times New Roman"/>
          <w:rtl w:val="0"/>
          <w:lang w:val="pt-PT"/>
        </w:rPr>
        <w:t>sacred</w:t>
      </w:r>
      <w:r>
        <w:rPr>
          <w:rFonts w:ascii="Times New Roman" w:hAnsi="Times New Roman" w:hint="default"/>
          <w:rtl w:val="0"/>
        </w:rPr>
        <w:t xml:space="preserve">” </w:t>
      </w:r>
      <w:r>
        <w:rPr>
          <w:rFonts w:ascii="Times New Roman" w:hAnsi="Times New Roman"/>
          <w:rtl w:val="0"/>
        </w:rPr>
        <w:t xml:space="preserve">status </w:t>
      </w:r>
      <w:r>
        <w:rPr>
          <w:rFonts w:ascii="Times New Roman" w:hAnsi="Times New Roman"/>
          <w:rtl w:val="0"/>
          <w:lang w:val="en-US"/>
        </w:rPr>
        <w:t xml:space="preserve">of being </w:t>
      </w:r>
      <w:r>
        <w:rPr>
          <w:rFonts w:ascii="Times New Roman" w:hAnsi="Times New Roman"/>
          <w:rtl w:val="0"/>
          <w:lang w:val="en-US"/>
        </w:rPr>
        <w:t xml:space="preserve">worthy </w:t>
      </w:r>
      <w:r>
        <w:rPr>
          <w:rFonts w:ascii="Times New Roman" w:hAnsi="Times New Roman"/>
          <w:rtl w:val="0"/>
          <w:lang w:val="en-US"/>
        </w:rPr>
        <w:t xml:space="preserve">to </w:t>
      </w:r>
      <w:r>
        <w:rPr>
          <w:rFonts w:ascii="Times New Roman" w:hAnsi="Times New Roman"/>
          <w:rtl w:val="0"/>
          <w:lang w:val="en-US"/>
        </w:rPr>
        <w:t xml:space="preserve">read, </w:t>
      </w:r>
      <w:r>
        <w:rPr>
          <w:rFonts w:ascii="Times New Roman" w:hAnsi="Times New Roman"/>
          <w:rtl w:val="0"/>
          <w:lang w:val="en-US"/>
        </w:rPr>
        <w:t xml:space="preserve">to </w:t>
      </w:r>
      <w:r>
        <w:rPr>
          <w:rFonts w:ascii="Times New Roman" w:hAnsi="Times New Roman"/>
          <w:rtl w:val="0"/>
          <w:lang w:val="en-US"/>
        </w:rPr>
        <w:t xml:space="preserve">teach, and </w:t>
      </w:r>
      <w:r>
        <w:rPr>
          <w:rFonts w:ascii="Times New Roman" w:hAnsi="Times New Roman"/>
          <w:rtl w:val="0"/>
          <w:lang w:val="en-US"/>
        </w:rPr>
        <w:t>to form</w:t>
      </w:r>
      <w:r>
        <w:rPr>
          <w:rFonts w:ascii="Times New Roman" w:hAnsi="Times New Roman"/>
          <w:rtl w:val="0"/>
          <w:lang w:val="en-US"/>
        </w:rPr>
        <w:t xml:space="preserve"> the standard of truth, faith, and conduct? </w:t>
      </w:r>
      <w:r>
        <w:rPr>
          <w:rStyle w:val="answers"/>
          <w:rFonts w:ascii="Times New Roman" w:hAnsi="Times New Roman"/>
          <w:shd w:val="nil" w:color="auto" w:fill="auto"/>
          <w:rtl w:val="0"/>
          <w:lang w:val="en-US"/>
        </w:rPr>
        <w:t>That they were God</w:t>
      </w:r>
      <w:r>
        <w:rPr>
          <w:rStyle w:val="answers"/>
          <w:rFonts w:ascii="Times New Roman" w:hAnsi="Times New Roman" w:hint="default"/>
          <w:shd w:val="nil" w:color="auto" w:fill="auto"/>
          <w:rtl w:val="0"/>
          <w:lang w:val="en-US"/>
        </w:rPr>
        <w:t>’</w:t>
      </w:r>
      <w:r>
        <w:rPr>
          <w:rStyle w:val="answers"/>
          <w:rFonts w:ascii="Times New Roman" w:hAnsi="Times New Roman"/>
          <w:shd w:val="nil" w:color="auto" w:fill="auto"/>
          <w:rtl w:val="0"/>
          <w:lang w:val="en-US"/>
        </w:rPr>
        <w:t>s words given through a true prophet.</w:t>
      </w:r>
      <w:r>
        <w:rPr>
          <w:rFonts w:ascii="Times New Roman" w:hAnsi="Times New Roman"/>
          <w:rtl w:val="0"/>
          <w:lang w:val="en-US"/>
        </w:rPr>
        <w:t xml:space="preserve"> </w:t>
      </w:r>
      <w:r>
        <w:rPr>
          <w:rFonts w:ascii="Times New Roman" w:hAnsi="Times New Roman"/>
          <w:rtl w:val="0"/>
          <w:lang w:val="en-US"/>
        </w:rPr>
        <w:t>What were the readers warned about?</w:t>
      </w:r>
      <w:r>
        <w:rPr>
          <w:rFonts w:ascii="Times New Roman" w:hAnsi="Times New Roman"/>
          <w:rtl w:val="0"/>
          <w:lang w:val="en-US"/>
        </w:rPr>
        <w:t xml:space="preserve"> </w:t>
      </w:r>
      <w:r>
        <w:rPr>
          <w:rFonts w:ascii="Times New Roman" w:hAnsi="Times New Roman"/>
          <w:sz w:val="20"/>
          <w:szCs w:val="20"/>
          <w:rtl w:val="0"/>
          <w:lang w:val="en-US"/>
        </w:rPr>
        <w:t xml:space="preserve">Teachers and letters claiming to be </w:t>
      </w:r>
      <w:r>
        <w:rPr>
          <w:rFonts w:ascii="Times New Roman" w:hAnsi="Times New Roman" w:hint="default"/>
          <w:sz w:val="20"/>
          <w:szCs w:val="20"/>
          <w:rtl w:val="0"/>
          <w:lang w:val="en-US"/>
        </w:rPr>
        <w:t>“</w:t>
      </w:r>
      <w:r>
        <w:rPr>
          <w:rFonts w:ascii="Times New Roman" w:hAnsi="Times New Roman"/>
          <w:sz w:val="20"/>
          <w:szCs w:val="20"/>
          <w:rtl w:val="0"/>
          <w:lang w:val="en-US"/>
        </w:rPr>
        <w:t>God</w:t>
      </w:r>
      <w:r>
        <w:rPr>
          <w:rFonts w:ascii="Times New Roman" w:hAnsi="Times New Roman" w:hint="default"/>
          <w:sz w:val="20"/>
          <w:szCs w:val="20"/>
          <w:rtl w:val="0"/>
          <w:lang w:val="en-US"/>
        </w:rPr>
        <w:t>’</w:t>
      </w:r>
      <w:r>
        <w:rPr>
          <w:rFonts w:ascii="Times New Roman" w:hAnsi="Times New Roman"/>
          <w:sz w:val="20"/>
          <w:szCs w:val="20"/>
          <w:rtl w:val="0"/>
          <w:lang w:val="en-US"/>
        </w:rPr>
        <w:t>s word.</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Thus, </w:t>
      </w:r>
      <w:r>
        <w:rPr>
          <w:rFonts w:ascii="Times New Roman" w:hAnsi="Times New Roman"/>
          <w:b w:val="1"/>
          <w:bCs w:val="1"/>
          <w:sz w:val="20"/>
          <w:szCs w:val="20"/>
          <w:rtl w:val="0"/>
          <w:lang w:val="en-US"/>
        </w:rPr>
        <w:t>even in the 1</w:t>
      </w:r>
      <w:r>
        <w:rPr>
          <w:rFonts w:ascii="Times New Roman" w:hAnsi="Times New Roman"/>
          <w:b w:val="1"/>
          <w:bCs w:val="1"/>
          <w:sz w:val="20"/>
          <w:szCs w:val="20"/>
          <w:vertAlign w:val="superscript"/>
          <w:rtl w:val="0"/>
          <w:lang w:val="en-US"/>
        </w:rPr>
        <w:t>st</w:t>
      </w:r>
      <w:r>
        <w:rPr>
          <w:rFonts w:ascii="Times New Roman" w:hAnsi="Times New Roman"/>
          <w:b w:val="1"/>
          <w:bCs w:val="1"/>
          <w:sz w:val="20"/>
          <w:szCs w:val="20"/>
          <w:rtl w:val="0"/>
          <w:lang w:val="en-US"/>
        </w:rPr>
        <w:t xml:space="preserve"> century</w:t>
      </w:r>
      <w:r>
        <w:rPr>
          <w:rFonts w:ascii="Times New Roman" w:hAnsi="Times New Roman"/>
          <w:sz w:val="20"/>
          <w:szCs w:val="20"/>
          <w:rtl w:val="0"/>
          <w:lang w:val="en-US"/>
        </w:rPr>
        <w:t xml:space="preserve"> there was a need to determine who was a genuine prophet and thus whose writings were worthy to be esteemed as the Divine pattern (</w:t>
      </w:r>
      <w:r>
        <w:rPr>
          <w:rFonts w:ascii="Times New Roman" w:hAnsi="Times New Roman" w:hint="default"/>
          <w:sz w:val="20"/>
          <w:szCs w:val="20"/>
          <w:rtl w:val="1"/>
          <w:lang w:val="ar-SA" w:bidi="ar-SA"/>
        </w:rPr>
        <w:t>“</w:t>
      </w:r>
      <w:r>
        <w:rPr>
          <w:rFonts w:ascii="Times New Roman" w:hAnsi="Times New Roman"/>
          <w:sz w:val="20"/>
          <w:szCs w:val="20"/>
          <w:rtl w:val="0"/>
          <w:lang w:val="it-IT"/>
        </w:rPr>
        <w:t>canonicity</w:t>
      </w:r>
      <w:r>
        <w:rPr>
          <w:rFonts w:ascii="Times New Roman" w:hAnsi="Times New Roman" w:hint="default"/>
          <w:sz w:val="20"/>
          <w:szCs w:val="20"/>
          <w:rtl w:val="0"/>
        </w:rPr>
        <w:t>”</w:t>
      </w:r>
      <w:r>
        <w:rPr>
          <w:rFonts w:ascii="Times New Roman" w:hAnsi="Times New Roman"/>
          <w:sz w:val="20"/>
          <w:szCs w:val="20"/>
          <w:rtl w:val="0"/>
        </w:rPr>
        <w:t>)</w:t>
      </w:r>
      <w:r>
        <w:rPr>
          <w:rFonts w:ascii="Times New Roman" w:hAnsi="Times New Roman"/>
          <w:sz w:val="20"/>
          <w:szCs w:val="20"/>
          <w:rtl w:val="0"/>
          <w:lang w:val="en-US"/>
        </w:rPr>
        <w:t xml:space="preserve">. This </w:t>
      </w:r>
      <w:r>
        <w:rPr>
          <w:rFonts w:ascii="Times New Roman" w:hAnsi="Times New Roman"/>
          <w:b w:val="1"/>
          <w:bCs w:val="1"/>
          <w:sz w:val="20"/>
          <w:szCs w:val="20"/>
          <w:rtl w:val="0"/>
          <w:lang w:val="en-US"/>
        </w:rPr>
        <w:t xml:space="preserve">gives further weight to the letters (or </w:t>
      </w:r>
      <w:r>
        <w:rPr>
          <w:rFonts w:ascii="Times New Roman" w:hAnsi="Times New Roman" w:hint="default"/>
          <w:b w:val="1"/>
          <w:bCs w:val="1"/>
          <w:sz w:val="20"/>
          <w:szCs w:val="20"/>
          <w:rtl w:val="0"/>
          <w:lang w:val="en-US"/>
        </w:rPr>
        <w:t>“</w:t>
      </w:r>
      <w:r>
        <w:rPr>
          <w:rFonts w:ascii="Times New Roman" w:hAnsi="Times New Roman"/>
          <w:b w:val="1"/>
          <w:bCs w:val="1"/>
          <w:sz w:val="20"/>
          <w:szCs w:val="20"/>
          <w:rtl w:val="0"/>
          <w:lang w:val="en-US"/>
        </w:rPr>
        <w:t>books</w:t>
      </w:r>
      <w:r>
        <w:rPr>
          <w:rFonts w:ascii="Times New Roman" w:hAnsi="Times New Roman" w:hint="default"/>
          <w:b w:val="1"/>
          <w:bCs w:val="1"/>
          <w:sz w:val="20"/>
          <w:szCs w:val="20"/>
          <w:rtl w:val="0"/>
          <w:lang w:val="en-US"/>
        </w:rPr>
        <w:t>”</w:t>
      </w:r>
      <w:r>
        <w:rPr>
          <w:rFonts w:ascii="Times New Roman" w:hAnsi="Times New Roman"/>
          <w:b w:val="1"/>
          <w:bCs w:val="1"/>
          <w:sz w:val="20"/>
          <w:szCs w:val="20"/>
          <w:rtl w:val="0"/>
          <w:lang w:val="en-US"/>
        </w:rPr>
        <w:t>) that were clearly received and used in the time when there were true prophets as well as false prophets and letters proposing to be written by prophets</w:t>
      </w:r>
      <w:r>
        <w:rPr>
          <w:rFonts w:ascii="Times New Roman" w:hAnsi="Times New Roman"/>
          <w:sz w:val="20"/>
          <w:szCs w:val="20"/>
          <w:rtl w:val="0"/>
          <w:lang w:val="en-US"/>
        </w:rPr>
        <w:t>. Besides the clear powers Jesus gave to the original proclaimers of the gospel to evidence the genuineness of their message (</w:t>
      </w:r>
      <w:r>
        <w:rPr>
          <w:rStyle w:val="ref 10 pt"/>
          <w:rFonts w:ascii="Times New Roman" w:hAnsi="Times New Roman"/>
          <w:shd w:val="nil" w:color="auto" w:fill="auto"/>
          <w:rtl w:val="0"/>
          <w:lang w:val="en-US"/>
        </w:rPr>
        <w:t>Mk 16:17-20</w:t>
      </w:r>
      <w:r>
        <w:rPr>
          <w:rFonts w:ascii="Times New Roman" w:hAnsi="Times New Roman"/>
          <w:sz w:val="20"/>
          <w:szCs w:val="20"/>
          <w:rtl w:val="0"/>
          <w:lang w:val="en-US"/>
        </w:rPr>
        <w:t xml:space="preserve">; cmpr </w:t>
      </w:r>
      <w:r>
        <w:rPr>
          <w:rStyle w:val="ref 10 pt"/>
          <w:rFonts w:ascii="Times New Roman" w:hAnsi="Times New Roman"/>
          <w:shd w:val="nil" w:color="auto" w:fill="auto"/>
          <w:rtl w:val="0"/>
          <w:lang w:val="en-US"/>
        </w:rPr>
        <w:t>2Co 11:13; 12:12; Heb 2:3-4</w:t>
      </w:r>
      <w:r>
        <w:rPr>
          <w:rFonts w:ascii="Times New Roman" w:hAnsi="Times New Roman"/>
          <w:sz w:val="20"/>
          <w:szCs w:val="20"/>
          <w:rtl w:val="0"/>
          <w:lang w:val="en-US"/>
        </w:rPr>
        <w:t xml:space="preserve">), some were given by the HS the </w:t>
      </w:r>
      <w:r>
        <w:rPr>
          <w:rFonts w:ascii="Times New Roman" w:hAnsi="Times New Roman"/>
          <w:b w:val="1"/>
          <w:bCs w:val="1"/>
          <w:sz w:val="20"/>
          <w:szCs w:val="20"/>
          <w:rtl w:val="0"/>
          <w:lang w:val="en-US"/>
        </w:rPr>
        <w:t xml:space="preserve">power to distinguish, or discern between </w:t>
      </w:r>
      <w:r>
        <w:rPr>
          <w:rFonts w:ascii="Times New Roman" w:hAnsi="Times New Roman" w:hint="default"/>
          <w:b w:val="1"/>
          <w:bCs w:val="1"/>
          <w:sz w:val="20"/>
          <w:szCs w:val="20"/>
          <w:rtl w:val="0"/>
          <w:lang w:val="en-US"/>
        </w:rPr>
        <w:t>“</w:t>
      </w:r>
      <w:r>
        <w:rPr>
          <w:rFonts w:ascii="Times New Roman" w:hAnsi="Times New Roman"/>
          <w:b w:val="1"/>
          <w:bCs w:val="1"/>
          <w:sz w:val="20"/>
          <w:szCs w:val="20"/>
          <w:rtl w:val="0"/>
          <w:lang w:val="en-US"/>
        </w:rPr>
        <w:t>spirits</w:t>
      </w:r>
      <w:r>
        <w:rPr>
          <w:rFonts w:ascii="Times New Roman" w:hAnsi="Times New Roman" w:hint="default"/>
          <w:b w:val="1"/>
          <w:bCs w:val="1"/>
          <w:sz w:val="20"/>
          <w:szCs w:val="20"/>
          <w:rtl w:val="0"/>
          <w:lang w:val="en-US"/>
        </w:rPr>
        <w:t>”</w:t>
      </w:r>
      <w:r>
        <w:rPr>
          <w:rFonts w:ascii="Times New Roman" w:hAnsi="Times New Roman"/>
          <w:sz w:val="20"/>
          <w:szCs w:val="20"/>
          <w:rtl w:val="0"/>
          <w:lang w:val="en-US"/>
        </w:rPr>
        <w:t xml:space="preserve"> (see </w:t>
      </w:r>
      <w:r>
        <w:rPr>
          <w:rStyle w:val="ref 10 pt"/>
          <w:rFonts w:ascii="Times New Roman" w:hAnsi="Times New Roman"/>
          <w:shd w:val="nil" w:color="auto" w:fill="auto"/>
          <w:rtl w:val="0"/>
          <w:lang w:val="en-US"/>
        </w:rPr>
        <w:t>1Jn 4:1), 1Co 12:10; 14:29</w:t>
      </w:r>
      <w:r>
        <w:rPr>
          <w:rFonts w:ascii="Times New Roman" w:hAnsi="Times New Roman"/>
          <w:sz w:val="20"/>
          <w:szCs w:val="20"/>
          <w:rtl w:val="0"/>
          <w:lang w:val="en-US"/>
        </w:rPr>
        <w:t xml:space="preserve">. This is in addition to the responsibility of each individual to </w:t>
      </w:r>
      <w:r>
        <w:rPr>
          <w:rFonts w:ascii="Times New Roman" w:hAnsi="Times New Roman" w:hint="default"/>
          <w:sz w:val="20"/>
          <w:szCs w:val="20"/>
          <w:rtl w:val="0"/>
          <w:lang w:val="en-US"/>
        </w:rPr>
        <w:t>“</w:t>
      </w:r>
      <w:r>
        <w:rPr>
          <w:rFonts w:ascii="Times New Roman" w:hAnsi="Times New Roman"/>
          <w:sz w:val="20"/>
          <w:szCs w:val="20"/>
          <w:rtl w:val="0"/>
          <w:lang w:val="en-US"/>
        </w:rPr>
        <w:t>test</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what they hear, </w:t>
      </w:r>
      <w:r>
        <w:rPr>
          <w:rStyle w:val="ref 10 pt"/>
          <w:rFonts w:ascii="Times New Roman" w:hAnsi="Times New Roman"/>
          <w:shd w:val="nil" w:color="auto" w:fill="auto"/>
          <w:rtl w:val="0"/>
          <w:lang w:val="en-US"/>
        </w:rPr>
        <w:t>1Th 5:19-22; 2Th 2:13; Ac 15:15; 17:11</w:t>
      </w:r>
      <w:r>
        <w:rPr>
          <w:rFonts w:ascii="Times New Roman" w:hAnsi="Times New Roman"/>
          <w:sz w:val="20"/>
          <w:szCs w:val="20"/>
          <w:rtl w:val="0"/>
          <w:lang w:val="en-US"/>
        </w:rPr>
        <w:t xml:space="preserve">. </w:t>
      </w:r>
      <w:r>
        <w:rPr>
          <w:rFonts w:ascii="Times New Roman" w:hAnsi="Times New Roman"/>
          <w:i w:val="1"/>
          <w:iCs w:val="1"/>
          <w:sz w:val="20"/>
          <w:szCs w:val="20"/>
          <w:rtl w:val="0"/>
          <w:lang w:val="en-US"/>
        </w:rPr>
        <w:t>It was a special time!</w:t>
      </w:r>
    </w:p>
    <w:p>
      <w:pPr>
        <w:pStyle w:val="Default"/>
        <w:suppressAutoHyphens w:val="1"/>
        <w:spacing w:before="0" w:line="240" w:lineRule="auto"/>
        <w:jc w:val="left"/>
        <w:rPr>
          <w:rFonts w:ascii="Times New Roman" w:cs="Times New Roman" w:hAnsi="Times New Roman" w:eastAsia="Times New Roman"/>
        </w:rPr>
      </w:pPr>
    </w:p>
    <w:p>
      <w:pPr>
        <w:pStyle w:val="Body"/>
        <w:numPr>
          <w:ilvl w:val="0"/>
          <w:numId w:val="7"/>
        </w:numPr>
        <w:bidi w:val="0"/>
      </w:pPr>
      <w:r>
        <w:rPr>
          <w:rtl w:val="0"/>
        </w:rPr>
        <w:t xml:space="preserve">Following are evidences that the books of the </w:t>
      </w:r>
      <w:r>
        <w:rPr>
          <w:rtl w:val="0"/>
        </w:rPr>
        <w:t>“</w:t>
      </w:r>
      <w:r>
        <w:rPr>
          <w:rtl w:val="0"/>
        </w:rPr>
        <w:t>Apocrypha</w:t>
      </w:r>
      <w:r>
        <w:rPr>
          <w:rtl w:val="0"/>
        </w:rPr>
        <w:t xml:space="preserve">” </w:t>
      </w:r>
      <w:r>
        <w:rPr>
          <w:rtl w:val="0"/>
        </w:rPr>
        <w:t xml:space="preserve">do not meet this criterion, and therefore do not belong in the book esteemed as the Word of God, </w:t>
      </w:r>
      <w:r>
        <w:rPr>
          <w:rtl w:val="0"/>
        </w:rPr>
        <w:t>“</w:t>
      </w:r>
      <w:r>
        <w:rPr>
          <w:rtl w:val="0"/>
        </w:rPr>
        <w:t>The Holy Bible.</w:t>
      </w:r>
      <w:r>
        <w:rPr>
          <w:rtl w:val="0"/>
        </w:rPr>
        <w:t xml:space="preserve">” </w:t>
      </w:r>
      <w:r>
        <w:rPr>
          <w:rtl w:val="0"/>
        </w:rPr>
        <w:t xml:space="preserve">We will discuss these in class as time allows. </w:t>
      </w:r>
      <w:r>
        <w:rPr>
          <w:b w:val="1"/>
          <w:bCs w:val="1"/>
          <w:rtl w:val="0"/>
          <w:lang w:val="en-US"/>
        </w:rPr>
        <w:t xml:space="preserve">Note: being included in the book we call </w:t>
      </w:r>
      <w:r>
        <w:rPr>
          <w:b w:val="1"/>
          <w:bCs w:val="1"/>
          <w:rtl w:val="0"/>
          <w:lang w:val="en-US"/>
        </w:rPr>
        <w:t>“</w:t>
      </w:r>
      <w:r>
        <w:rPr>
          <w:b w:val="1"/>
          <w:bCs w:val="1"/>
          <w:rtl w:val="0"/>
          <w:lang w:val="en-US"/>
        </w:rPr>
        <w:t>The Bible</w:t>
      </w:r>
      <w:r>
        <w:rPr>
          <w:b w:val="1"/>
          <w:bCs w:val="1"/>
          <w:rtl w:val="0"/>
          <w:lang w:val="en-US"/>
        </w:rPr>
        <w:t xml:space="preserve">” </w:t>
      </w:r>
      <w:r>
        <w:rPr>
          <w:b w:val="1"/>
          <w:bCs w:val="1"/>
          <w:rtl w:val="0"/>
          <w:lang w:val="en-US"/>
        </w:rPr>
        <w:t xml:space="preserve">does not make the books in it inspired </w:t>
      </w:r>
      <w:r>
        <w:rPr>
          <w:b w:val="1"/>
          <w:bCs w:val="1"/>
          <w:rtl w:val="0"/>
          <w:lang w:val="en-US"/>
        </w:rPr>
        <w:t>by</w:t>
      </w:r>
      <w:r>
        <w:rPr>
          <w:b w:val="1"/>
          <w:bCs w:val="1"/>
          <w:rtl w:val="0"/>
          <w:lang w:val="en-US"/>
        </w:rPr>
        <w:t xml:space="preserve"> God; being </w:t>
      </w:r>
      <w:r>
        <w:rPr>
          <w:b w:val="1"/>
          <w:bCs w:val="1"/>
          <w:i w:val="1"/>
          <w:iCs w:val="1"/>
          <w:rtl w:val="0"/>
          <w:lang w:val="en-US"/>
        </w:rPr>
        <w:t xml:space="preserve">inspired </w:t>
      </w:r>
      <w:r>
        <w:rPr>
          <w:b w:val="1"/>
          <w:bCs w:val="1"/>
          <w:i w:val="1"/>
          <w:iCs w:val="1"/>
          <w:rtl w:val="0"/>
          <w:lang w:val="en-US"/>
        </w:rPr>
        <w:t>by</w:t>
      </w:r>
      <w:r>
        <w:rPr>
          <w:b w:val="1"/>
          <w:bCs w:val="1"/>
          <w:i w:val="1"/>
          <w:iCs w:val="1"/>
          <w:rtl w:val="0"/>
          <w:lang w:val="en-US"/>
        </w:rPr>
        <w:t xml:space="preserve"> God</w:t>
      </w:r>
      <w:r>
        <w:rPr>
          <w:b w:val="1"/>
          <w:bCs w:val="1"/>
          <w:rtl w:val="0"/>
          <w:lang w:val="en-US"/>
        </w:rPr>
        <w:t xml:space="preserve"> is what gave them the right to be included in </w:t>
      </w:r>
      <w:r>
        <w:rPr>
          <w:b w:val="1"/>
          <w:bCs w:val="1"/>
          <w:rtl w:val="0"/>
          <w:lang w:val="en-US"/>
        </w:rPr>
        <w:t>“</w:t>
      </w:r>
      <w:r>
        <w:rPr>
          <w:b w:val="1"/>
          <w:bCs w:val="1"/>
          <w:rtl w:val="0"/>
          <w:lang w:val="en-US"/>
        </w:rPr>
        <w:t>The Holy (Sacred) Bible.</w:t>
      </w:r>
      <w:r>
        <w:rPr>
          <w:b w:val="1"/>
          <w:bCs w:val="1"/>
          <w:rtl w:val="0"/>
          <w:lang w:val="en-US"/>
        </w:rPr>
        <w:t>”</w:t>
      </w:r>
    </w:p>
    <w:p>
      <w:pPr>
        <w:pStyle w:val="Body"/>
        <w:rPr>
          <w:sz w:val="6"/>
          <w:szCs w:val="6"/>
        </w:rPr>
      </w:pPr>
    </w:p>
    <w:p>
      <w:pPr>
        <w:pStyle w:val="Default"/>
        <w:suppressAutoHyphens w:val="1"/>
        <w:spacing w:before="0" w:after="120" w:line="240" w:lineRule="auto"/>
        <w:ind w:left="720" w:firstLine="0"/>
        <w:jc w:val="left"/>
        <w:rPr>
          <w:rFonts w:ascii="Times New Roman" w:cs="Times New Roman" w:hAnsi="Times New Roman" w:eastAsia="Times New Roman"/>
          <w:sz w:val="20"/>
          <w:szCs w:val="20"/>
        </w:rPr>
      </w:pPr>
      <w:r>
        <w:rPr>
          <w:rFonts w:ascii="Times New Roman" w:hAnsi="Times New Roman"/>
          <w:sz w:val="20"/>
          <w:szCs w:val="20"/>
          <w:rtl w:val="0"/>
          <w:lang w:val="en-US"/>
        </w:rPr>
        <w:t xml:space="preserve">As stated by R. Laid Harris, </w:t>
      </w:r>
      <w:r>
        <w:rPr>
          <w:rFonts w:ascii="Times New Roman" w:hAnsi="Times New Roman" w:hint="default"/>
          <w:sz w:val="20"/>
          <w:szCs w:val="20"/>
          <w:rtl w:val="0"/>
        </w:rPr>
        <w:t>“ …</w:t>
      </w:r>
      <w:r>
        <w:rPr>
          <w:rFonts w:ascii="Times New Roman" w:hAnsi="Times New Roman"/>
          <w:sz w:val="20"/>
          <w:szCs w:val="20"/>
          <w:rtl w:val="0"/>
          <w:lang w:val="en-US"/>
        </w:rPr>
        <w:t xml:space="preserve">inspiration determines canonicity. A book is in the canon because it has been recognized as being verbally inspired. </w:t>
      </w:r>
      <w:r>
        <w:rPr>
          <w:rFonts w:ascii="Times New Roman" w:hAnsi="Times New Roman" w:hint="default"/>
          <w:sz w:val="20"/>
          <w:szCs w:val="20"/>
          <w:rtl w:val="0"/>
        </w:rPr>
        <w:t xml:space="preserve">… </w:t>
      </w:r>
      <w:r>
        <w:rPr>
          <w:rFonts w:ascii="Times New Roman" w:hAnsi="Times New Roman"/>
          <w:b w:val="1"/>
          <w:bCs w:val="1"/>
          <w:sz w:val="20"/>
          <w:szCs w:val="20"/>
          <w:rtl w:val="0"/>
          <w:lang w:val="en-US"/>
        </w:rPr>
        <w:t>The Church may certify the books, but the truth of the books depends upon the fact that God is their author</w:t>
      </w:r>
      <w:r>
        <w:rPr>
          <w:rFonts w:ascii="Times New Roman" w:hAnsi="Times New Roman"/>
          <w:sz w:val="20"/>
          <w:szCs w:val="20"/>
          <w:rtl w:val="0"/>
        </w:rPr>
        <w:t>.</w:t>
      </w:r>
      <w:r>
        <w:rPr>
          <w:rFonts w:ascii="Times New Roman" w:hAnsi="Times New Roman" w:hint="default"/>
          <w:sz w:val="20"/>
          <w:szCs w:val="20"/>
          <w:rtl w:val="0"/>
        </w:rPr>
        <w:t xml:space="preserve">” </w:t>
      </w:r>
      <w:r>
        <w:rPr>
          <w:rFonts w:ascii="Times New Roman" w:hAnsi="Times New Roman"/>
          <w:sz w:val="20"/>
          <w:szCs w:val="20"/>
          <w:rtl w:val="0"/>
          <w:lang w:val="pt-PT"/>
        </w:rPr>
        <w:t xml:space="preserve">ICB , p133 [boldmine] </w:t>
      </w:r>
    </w:p>
    <w:p>
      <w:pPr>
        <w:pStyle w:val="Default"/>
        <w:suppressAutoHyphens w:val="1"/>
        <w:spacing w:before="0" w:after="120" w:line="240" w:lineRule="auto"/>
        <w:ind w:left="720" w:firstLine="0"/>
        <w:jc w:val="left"/>
        <w:rPr>
          <w:rFonts w:ascii="Times New Roman" w:cs="Times New Roman" w:hAnsi="Times New Roman" w:eastAsia="Times New Roman"/>
          <w:sz w:val="24"/>
          <w:szCs w:val="24"/>
        </w:rPr>
      </w:pPr>
      <w:r>
        <w:rPr>
          <w:rFonts w:ascii="Times New Roman" w:hAnsi="Times New Roman" w:hint="default"/>
          <w:sz w:val="20"/>
          <w:szCs w:val="20"/>
          <w:rtl w:val="1"/>
          <w:lang w:val="ar-SA" w:bidi="ar-SA"/>
        </w:rPr>
        <w:t>“</w:t>
      </w:r>
      <w:r>
        <w:rPr>
          <w:rFonts w:ascii="Times New Roman" w:hAnsi="Times New Roman"/>
          <w:sz w:val="20"/>
          <w:szCs w:val="20"/>
          <w:rtl w:val="0"/>
          <w:lang w:val="en-US"/>
        </w:rPr>
        <w:t>Some ancient books were certainly excluded. The evidence refutes the view that all old Hebrew books were eventually considered sacred.</w:t>
      </w:r>
      <w:r>
        <w:rPr>
          <w:rFonts w:ascii="Times New Roman" w:hAnsi="Times New Roman" w:hint="default"/>
          <w:sz w:val="20"/>
          <w:szCs w:val="20"/>
          <w:rtl w:val="0"/>
        </w:rPr>
        <w:t xml:space="preserve">” </w:t>
      </w:r>
      <w:r>
        <w:rPr>
          <w:rFonts w:ascii="Times New Roman" w:hAnsi="Times New Roman"/>
          <w:sz w:val="20"/>
          <w:szCs w:val="20"/>
          <w:rtl w:val="0"/>
          <w:lang w:val="en-US"/>
        </w:rPr>
        <w:t xml:space="preserve">ICB, p. 154. The Bible even makes reference to other, secular works, e.g. Book of Jashar, </w:t>
      </w:r>
      <w:r>
        <w:rPr>
          <w:rFonts w:ascii="Times New Roman" w:hAnsi="Times New Roman"/>
          <w:b w:val="1"/>
          <w:bCs w:val="1"/>
          <w:sz w:val="20"/>
          <w:szCs w:val="20"/>
          <w:rtl w:val="0"/>
          <w:lang w:val="en-US"/>
        </w:rPr>
        <w:t>Josh 10:13; 2Sam 1:18</w:t>
      </w:r>
      <w:r>
        <w:rPr>
          <w:rFonts w:ascii="Times New Roman" w:hAnsi="Times New Roman"/>
          <w:sz w:val="20"/>
          <w:szCs w:val="20"/>
          <w:rtl w:val="0"/>
        </w:rPr>
        <w:t>.</w:t>
      </w:r>
    </w:p>
    <w:p>
      <w:pPr>
        <w:pStyle w:val="Body"/>
        <w:rPr>
          <w:sz w:val="16"/>
          <w:szCs w:val="16"/>
        </w:rPr>
      </w:pPr>
    </w:p>
    <w:p>
      <w:pPr>
        <w:pStyle w:val="Default"/>
        <w:numPr>
          <w:ilvl w:val="1"/>
          <w:numId w:val="7"/>
        </w:numPr>
        <w:suppressAutoHyphens w:val="1"/>
        <w:spacing w:before="0" w:line="240" w:lineRule="auto"/>
        <w:jc w:val="left"/>
        <w:rPr>
          <w:rFonts w:ascii="Times New Roman" w:hAnsi="Times New Roman"/>
          <w:lang w:val="en-US"/>
        </w:rPr>
      </w:pPr>
      <w:r>
        <w:rPr>
          <w:rFonts w:ascii="Times New Roman" w:hAnsi="Times New Roman"/>
          <w:rtl w:val="0"/>
          <w:lang w:val="en-US"/>
        </w:rPr>
        <w:t>They were never included in the Hebrew canon of the Old Testament. The Old Testament is a collection of books by Jewish authors for the Jewish nation</w:t>
      </w:r>
      <w:r>
        <w:rPr>
          <w:rFonts w:ascii="Times New Roman" w:hAnsi="Times New Roman"/>
          <w:rtl w:val="0"/>
          <w:lang w:val="en-US"/>
        </w:rPr>
        <w:t>,</w:t>
      </w:r>
      <w:r>
        <w:rPr>
          <w:rFonts w:ascii="Times New Roman" w:hAnsi="Times New Roman"/>
          <w:rtl w:val="0"/>
          <w:lang w:val="en-US"/>
        </w:rPr>
        <w:t xml:space="preserve"> and these divine </w:t>
      </w:r>
      <w:r>
        <w:rPr>
          <w:rFonts w:ascii="Times New Roman" w:hAnsi="Times New Roman" w:hint="default"/>
          <w:rtl w:val="1"/>
          <w:lang w:val="ar-SA" w:bidi="ar-SA"/>
        </w:rPr>
        <w:t>“</w:t>
      </w:r>
      <w:r>
        <w:rPr>
          <w:rFonts w:ascii="Times New Roman" w:hAnsi="Times New Roman"/>
          <w:rtl w:val="0"/>
          <w:lang w:val="en-US"/>
        </w:rPr>
        <w:t>oracles</w:t>
      </w:r>
      <w:r>
        <w:rPr>
          <w:rFonts w:ascii="Times New Roman" w:hAnsi="Times New Roman" w:hint="default"/>
          <w:rtl w:val="0"/>
        </w:rPr>
        <w:t xml:space="preserve">” </w:t>
      </w:r>
      <w:r>
        <w:rPr>
          <w:rFonts w:ascii="Times New Roman" w:hAnsi="Times New Roman"/>
          <w:rtl w:val="0"/>
          <w:lang w:val="en-US"/>
        </w:rPr>
        <w:t xml:space="preserve">were </w:t>
      </w:r>
      <w:r>
        <w:rPr>
          <w:rFonts w:ascii="Times New Roman" w:hAnsi="Times New Roman" w:hint="default"/>
          <w:rtl w:val="1"/>
          <w:lang w:val="ar-SA" w:bidi="ar-SA"/>
        </w:rPr>
        <w:t>“</w:t>
      </w:r>
      <w:r>
        <w:rPr>
          <w:rFonts w:ascii="Times New Roman" w:hAnsi="Times New Roman"/>
          <w:rtl w:val="0"/>
          <w:lang w:val="en-US"/>
        </w:rPr>
        <w:t>entrusted to them,</w:t>
      </w:r>
      <w:r>
        <w:rPr>
          <w:rFonts w:ascii="Times New Roman" w:hAnsi="Times New Roman" w:hint="default"/>
          <w:rtl w:val="0"/>
        </w:rPr>
        <w:t xml:space="preserve">” </w:t>
      </w:r>
      <w:r>
        <w:rPr>
          <w:rStyle w:val="ref"/>
          <w:rFonts w:ascii="Times New Roman" w:hAnsi="Times New Roman"/>
          <w:shd w:val="nil" w:color="auto" w:fill="auto"/>
          <w:rtl w:val="0"/>
          <w:lang w:val="it-IT"/>
        </w:rPr>
        <w:t>Rom 3:2</w:t>
      </w:r>
      <w:r>
        <w:rPr>
          <w:rFonts w:ascii="Times New Roman" w:hAnsi="Times New Roman"/>
          <w:rtl w:val="0"/>
        </w:rPr>
        <w:t xml:space="preserve">. </w:t>
      </w:r>
    </w:p>
    <w:p>
      <w:pPr>
        <w:pStyle w:val="Default"/>
        <w:suppressAutoHyphens w:val="1"/>
        <w:spacing w:before="0" w:line="240" w:lineRule="auto"/>
        <w:jc w:val="left"/>
        <w:rPr>
          <w:rFonts w:ascii="Times New Roman" w:cs="Times New Roman" w:hAnsi="Times New Roman" w:eastAsia="Times New Roman"/>
          <w:sz w:val="12"/>
          <w:szCs w:val="12"/>
        </w:rPr>
      </w:pPr>
    </w:p>
    <w:p>
      <w:pPr>
        <w:pStyle w:val="Default"/>
        <w:spacing w:before="0" w:after="120" w:line="240" w:lineRule="auto"/>
        <w:ind w:left="720"/>
        <w:jc w:val="left"/>
        <w:rPr>
          <w:rFonts w:ascii="Times New Roman" w:cs="Times New Roman" w:hAnsi="Times New Roman" w:eastAsia="Times New Roman"/>
          <w:b w:val="1"/>
          <w:bCs w:val="1"/>
          <w:sz w:val="20"/>
          <w:szCs w:val="20"/>
          <w:u w:val="single"/>
          <w:lang w:val="en-US"/>
        </w:rPr>
      </w:pPr>
      <w:r>
        <w:rPr>
          <w:rStyle w:val="ref 10 pt"/>
          <w:rFonts w:ascii="Times New Roman" w:cs="Arial Unicode MS" w:hAnsi="Times New Roman" w:eastAsia="Arial Unicode MS"/>
          <w:b w:val="1"/>
          <w:bCs w:val="1"/>
          <w:i w:val="0"/>
          <w:iCs w:val="0"/>
          <w:sz w:val="20"/>
          <w:szCs w:val="20"/>
          <w:u w:val="single"/>
          <w:shd w:val="nil" w:color="auto" w:fill="auto"/>
          <w:rtl w:val="0"/>
          <w:lang w:val="en-US"/>
        </w:rPr>
        <w:t>Mt 23:35</w:t>
      </w:r>
      <w:r>
        <w:rPr>
          <w:rFonts w:ascii="Times New Roman" w:hAnsi="Times New Roman"/>
          <w:b w:val="1"/>
          <w:bCs w:val="1"/>
          <w:sz w:val="20"/>
          <w:szCs w:val="20"/>
          <w:u w:val="single"/>
          <w:rtl w:val="0"/>
          <w:lang w:val="en-US"/>
        </w:rPr>
        <w:t xml:space="preserve"> - from the first book of the Hebrew canon to the last (?) </w:t>
      </w:r>
    </w:p>
    <w:p>
      <w:pPr>
        <w:pStyle w:val="Default"/>
        <w:spacing w:before="0" w:line="240" w:lineRule="auto"/>
        <w:ind w:left="720"/>
        <w:jc w:val="left"/>
        <w:rPr>
          <w:rFonts w:ascii="Times New Roman" w:cs="Times New Roman" w:hAnsi="Times New Roman" w:eastAsia="Times New Roman"/>
          <w:sz w:val="20"/>
          <w:szCs w:val="20"/>
          <w:lang w:val="en-US"/>
        </w:rPr>
      </w:pPr>
      <w:r>
        <w:rPr>
          <w:rStyle w:val="green highlight TNR10"/>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IF</w:t>
      </w:r>
      <w:r>
        <w:rPr>
          <w:rFonts w:ascii="Times New Roman" w:hAnsi="Times New Roman"/>
          <w:sz w:val="20"/>
          <w:szCs w:val="20"/>
          <w:rtl w:val="0"/>
          <w:lang w:val="en-US"/>
        </w:rPr>
        <w:t xml:space="preserve"> </w:t>
      </w:r>
      <w:r>
        <w:rPr>
          <w:rFonts w:ascii="Times New Roman" w:hAnsi="Times New Roman"/>
          <w:sz w:val="20"/>
          <w:szCs w:val="20"/>
          <w:rtl w:val="0"/>
          <w:lang w:val="en-US"/>
        </w:rPr>
        <w:t>this is</w:t>
      </w:r>
      <w:r>
        <w:rPr>
          <w:rFonts w:ascii="Times New Roman" w:hAnsi="Times New Roman"/>
          <w:sz w:val="20"/>
          <w:szCs w:val="20"/>
          <w:rtl w:val="0"/>
          <w:lang w:val="en-US"/>
        </w:rPr>
        <w:t xml:space="preserve"> the Zechariah of </w:t>
      </w:r>
      <w:r>
        <w:rPr>
          <w:rStyle w:val="ref 10 pt"/>
          <w:rFonts w:ascii="Times New Roman" w:cs="Arial Unicode MS" w:hAnsi="Times New Roman" w:eastAsia="Arial Unicode MS"/>
          <w:b w:val="1"/>
          <w:bCs w:val="1"/>
          <w:i w:val="0"/>
          <w:iCs w:val="0"/>
          <w:sz w:val="20"/>
          <w:szCs w:val="20"/>
          <w:shd w:val="nil" w:color="auto" w:fill="auto"/>
          <w:rtl w:val="0"/>
          <w:lang w:val="en-US"/>
        </w:rPr>
        <w:t>2Ch 24:19-22</w:t>
      </w:r>
      <w:r>
        <w:rPr>
          <w:rFonts w:ascii="Times New Roman" w:hAnsi="Times New Roman"/>
          <w:sz w:val="20"/>
          <w:szCs w:val="20"/>
          <w:rtl w:val="0"/>
          <w:lang w:val="en-US"/>
        </w:rPr>
        <w:t>. Cannot be dogmatic. See notes on Matt</w:t>
      </w:r>
      <w:r>
        <w:rPr>
          <w:rFonts w:ascii="Times New Roman" w:hAnsi="Times New Roman"/>
          <w:sz w:val="20"/>
          <w:szCs w:val="20"/>
          <w:rtl w:val="0"/>
          <w:lang w:val="en-US"/>
        </w:rPr>
        <w:t>hew on this verse for further info.</w:t>
      </w:r>
    </w:p>
    <w:p>
      <w:pPr>
        <w:pStyle w:val="Default"/>
        <w:spacing w:before="0" w:line="240" w:lineRule="auto"/>
        <w:ind w:left="720"/>
        <w:jc w:val="left"/>
        <w:rPr>
          <w:rFonts w:ascii="Times New Roman" w:cs="Times New Roman" w:hAnsi="Times New Roman" w:eastAsia="Times New Roman"/>
          <w:sz w:val="12"/>
          <w:szCs w:val="12"/>
          <w:lang w:val="en-US"/>
        </w:rPr>
      </w:pPr>
    </w:p>
    <w:p>
      <w:pPr>
        <w:pStyle w:val="Default"/>
        <w:spacing w:before="0" w:line="240" w:lineRule="auto"/>
        <w:ind w:left="720"/>
        <w:jc w:val="left"/>
        <w:rPr>
          <w:rStyle w:val="green highlight TNR10"/>
          <w:rFonts w:ascii="Times New Roman" w:cs="Times New Roman" w:hAnsi="Times New Roman" w:eastAsia="Times New Roman"/>
          <w:b w:val="0"/>
          <w:bCs w:val="0"/>
          <w:i w:val="0"/>
          <w:iCs w:val="0"/>
          <w:caps w:val="0"/>
          <w:smallCaps w:val="0"/>
          <w:strike w:val="0"/>
          <w:dstrike w:val="0"/>
          <w:outline w:val="0"/>
          <w:color w:val="000000"/>
          <w:spacing w:val="0"/>
          <w:position w:val="0"/>
          <w:sz w:val="20"/>
          <w:szCs w:val="20"/>
          <w:u w:val="none"/>
          <w:shd w:val="nil" w:color="auto" w:fill="auto"/>
          <w:vertAlign w:val="baseline"/>
          <w:lang w:val="en-US"/>
          <w14:textFill>
            <w14:solidFill>
              <w14:srgbClr w14:val="000000"/>
            </w14:solidFill>
          </w14:textFill>
        </w:rPr>
      </w:pP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Like saying, </w:t>
      </w:r>
      <w:r>
        <w:rPr>
          <w:rStyle w:val="green highlight TNR10"/>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0"/>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From Genesis </w:t>
      </w:r>
      <w:r>
        <w:rPr>
          <w:rStyle w:val="green highlight TNR10"/>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to </w:t>
      </w:r>
      <w:r>
        <w:rPr>
          <w:rStyle w:val="green highlight TNR10"/>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Malachi.</w:t>
      </w:r>
      <w:r>
        <w:rPr>
          <w:rStyle w:val="green highlight TNR10"/>
          <w:rFonts w:ascii="Times New Roman" w:cs="Arial Unicode MS" w:hAnsi="Times New Roman" w:eastAsia="Arial Unicode MS" w:hint="default"/>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Note also, </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both in Abel</w:t>
      </w:r>
      <w:r>
        <w:rPr>
          <w:rStyle w:val="green highlight TNR10"/>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s case and this Zechariah</w:t>
      </w:r>
      <w:r>
        <w:rPr>
          <w:rStyle w:val="green highlight TNR10"/>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s case, statements are made about their blood being avenged: </w:t>
      </w:r>
      <w:r>
        <w:rPr>
          <w:rStyle w:val="ref 10 pt"/>
          <w:rFonts w:ascii="Times New Roman" w:cs="Arial Unicode MS" w:hAnsi="Times New Roman" w:eastAsia="Arial Unicode MS"/>
          <w:b w:val="1"/>
          <w:bCs w:val="1"/>
          <w:i w:val="0"/>
          <w:iCs w:val="0"/>
          <w:sz w:val="20"/>
          <w:szCs w:val="20"/>
          <w:shd w:val="nil" w:color="auto" w:fill="auto"/>
          <w:rtl w:val="0"/>
          <w:lang w:val="en-US"/>
        </w:rPr>
        <w:t>Gen 4:10</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w:t>
      </w:r>
      <w:r>
        <w:rPr>
          <w:rStyle w:val="green highlight TNR10"/>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The voice of your brother</w:t>
      </w:r>
      <w:r>
        <w:rPr>
          <w:rStyle w:val="green highlight TNR10"/>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s blood is crying to me from the ground.</w:t>
      </w:r>
      <w:r>
        <w:rPr>
          <w:rStyle w:val="green highlight TNR10"/>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w:t>
      </w:r>
      <w:r>
        <w:rPr>
          <w:rStyle w:val="ref 10 pt"/>
          <w:rFonts w:ascii="Times New Roman" w:cs="Arial Unicode MS" w:hAnsi="Times New Roman" w:eastAsia="Arial Unicode MS"/>
          <w:b w:val="1"/>
          <w:bCs w:val="1"/>
          <w:i w:val="0"/>
          <w:iCs w:val="0"/>
          <w:sz w:val="20"/>
          <w:szCs w:val="20"/>
          <w:shd w:val="nil" w:color="auto" w:fill="auto"/>
          <w:rtl w:val="0"/>
          <w:lang w:val="en-US"/>
        </w:rPr>
        <w:t>2Ch 24:22</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w:t>
      </w:r>
      <w:r>
        <w:rPr>
          <w:rStyle w:val="green highlight TNR10"/>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May the Lord see and </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avenge!</w:t>
      </w:r>
      <w:r>
        <w:rPr>
          <w:rStyle w:val="green highlight TNR10"/>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p>
    <w:p>
      <w:pPr>
        <w:pStyle w:val="Default"/>
        <w:spacing w:before="0" w:line="240" w:lineRule="auto"/>
        <w:ind w:left="720"/>
        <w:jc w:val="left"/>
        <w:rPr>
          <w:rFonts w:ascii="Times New Roman" w:cs="Times New Roman" w:hAnsi="Times New Roman" w:eastAsia="Times New Roman"/>
          <w:b w:val="1"/>
          <w:bCs w:val="1"/>
          <w:sz w:val="6"/>
          <w:szCs w:val="6"/>
          <w:lang w:val="en-US"/>
        </w:rPr>
      </w:pPr>
    </w:p>
    <w:p>
      <w:pPr>
        <w:pStyle w:val="Default"/>
        <w:spacing w:before="0" w:line="240" w:lineRule="auto"/>
        <w:ind w:left="1080"/>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w:t>
      </w:r>
      <w:r>
        <w:rPr>
          <w:rFonts w:ascii="Times New Roman" w:hAnsi="Times New Roman"/>
          <w:b w:val="1"/>
          <w:bCs w:val="1"/>
          <w:sz w:val="20"/>
          <w:szCs w:val="20"/>
          <w:rtl w:val="0"/>
          <w:lang w:val="en-US"/>
        </w:rPr>
        <w:t>This arrangement of Hebrew Bible based on</w:t>
      </w:r>
      <w:r>
        <w:rPr>
          <w:rFonts w:ascii="Times New Roman" w:hAnsi="Times New Roman"/>
          <w:sz w:val="20"/>
          <w:szCs w:val="20"/>
          <w:rtl w:val="0"/>
          <w:lang w:val="en-US"/>
        </w:rPr>
        <w:t xml:space="preserve"> </w:t>
      </w:r>
      <w:r>
        <w:rPr>
          <w:rFonts w:ascii="Times New Roman" w:hAnsi="Times New Roman"/>
          <w:sz w:val="20"/>
          <w:szCs w:val="20"/>
          <w:rtl w:val="0"/>
          <w:lang w:val="en-US"/>
        </w:rPr>
        <w:t xml:space="preserve">the </w:t>
      </w:r>
      <w:r>
        <w:rPr>
          <w:rFonts w:ascii="Times New Roman" w:hAnsi="Times New Roman"/>
          <w:sz w:val="20"/>
          <w:szCs w:val="20"/>
          <w:rtl w:val="0"/>
          <w:lang w:val="en-US"/>
        </w:rPr>
        <w:t>tract B</w:t>
      </w:r>
      <w:r>
        <w:rPr>
          <w:rFonts w:ascii="Times New Roman" w:hAnsi="Times New Roman"/>
          <w:sz w:val="20"/>
          <w:szCs w:val="20"/>
          <w:rtl w:val="0"/>
          <w:lang w:val="en-US"/>
        </w:rPr>
        <w:t>aba</w:t>
      </w:r>
      <w:r>
        <w:rPr>
          <w:rFonts w:ascii="Times New Roman" w:hAnsi="Times New Roman"/>
          <w:sz w:val="20"/>
          <w:szCs w:val="20"/>
          <w:rtl w:val="0"/>
          <w:lang w:val="en-US"/>
        </w:rPr>
        <w:t xml:space="preserve"> Bathra </w:t>
      </w:r>
      <w:r>
        <w:rPr>
          <w:rFonts w:ascii="Times New Roman" w:hAnsi="Times New Roman"/>
          <w:sz w:val="20"/>
          <w:szCs w:val="20"/>
          <w:rtl w:val="0"/>
          <w:lang w:val="en-US"/>
        </w:rPr>
        <w:t>of</w:t>
      </w:r>
      <w:r>
        <w:rPr>
          <w:rFonts w:ascii="Times New Roman" w:hAnsi="Times New Roman"/>
          <w:sz w:val="20"/>
          <w:szCs w:val="20"/>
          <w:rtl w:val="0"/>
          <w:lang w:val="en-US"/>
        </w:rPr>
        <w:t xml:space="preserve"> the Babylonian Talmud, c. </w:t>
      </w:r>
      <w:r>
        <w:rPr>
          <w:rFonts w:ascii="Times New Roman" w:hAnsi="Times New Roman"/>
          <w:sz w:val="20"/>
          <w:szCs w:val="20"/>
          <w:rtl w:val="0"/>
          <w:lang w:val="en-US"/>
        </w:rPr>
        <w:t>4</w:t>
      </w:r>
      <w:r>
        <w:rPr>
          <w:rFonts w:ascii="Times New Roman" w:hAnsi="Times New Roman"/>
          <w:sz w:val="20"/>
          <w:szCs w:val="20"/>
          <w:vertAlign w:val="superscript"/>
          <w:rtl w:val="0"/>
          <w:lang w:val="en-US"/>
        </w:rPr>
        <w:t>th</w:t>
      </w:r>
      <w:r>
        <w:rPr>
          <w:rFonts w:ascii="Times New Roman" w:hAnsi="Times New Roman"/>
          <w:sz w:val="20"/>
          <w:szCs w:val="20"/>
          <w:rtl w:val="0"/>
          <w:lang w:val="en-US"/>
        </w:rPr>
        <w:t xml:space="preserve"> cent</w:t>
      </w:r>
      <w:r>
        <w:rPr>
          <w:rFonts w:ascii="Times New Roman" w:hAnsi="Times New Roman"/>
          <w:sz w:val="20"/>
          <w:szCs w:val="20"/>
          <w:rtl w:val="0"/>
          <w:lang w:val="en-US"/>
        </w:rPr>
        <w:t xml:space="preserve"> AD. ICD</w:t>
      </w:r>
      <w:r>
        <w:rPr>
          <w:rFonts w:ascii="Times New Roman" w:hAnsi="Times New Roman"/>
          <w:sz w:val="20"/>
          <w:szCs w:val="20"/>
          <w:rtl w:val="0"/>
          <w:lang w:val="en-US"/>
        </w:rPr>
        <w:t xml:space="preserve">, </w:t>
      </w:r>
      <w:r>
        <w:rPr>
          <w:rFonts w:ascii="Times New Roman" w:hAnsi="Times New Roman"/>
          <w:sz w:val="20"/>
          <w:szCs w:val="20"/>
          <w:rtl w:val="0"/>
          <w:lang w:val="en-US"/>
        </w:rPr>
        <w:t>p. 141. Hendrikson &amp; Lenski also mention this arrangement, but do not give their sources.]</w:t>
      </w:r>
      <w:r>
        <w:rPr>
          <w:rFonts w:ascii="Times New Roman" w:hAnsi="Times New Roman"/>
          <w:sz w:val="20"/>
          <w:szCs w:val="20"/>
          <w:rtl w:val="0"/>
          <w:lang w:val="en-US"/>
        </w:rPr>
        <w:t xml:space="preserve"> [boldmine] </w:t>
      </w:r>
    </w:p>
    <w:p>
      <w:pPr>
        <w:pStyle w:val="Default"/>
        <w:spacing w:before="0" w:line="240" w:lineRule="auto"/>
        <w:ind w:left="1080"/>
        <w:jc w:val="left"/>
        <w:rPr>
          <w:rFonts w:ascii="Times New Roman" w:cs="Times New Roman" w:hAnsi="Times New Roman" w:eastAsia="Times New Roman"/>
          <w:sz w:val="6"/>
          <w:szCs w:val="6"/>
          <w:lang w:val="en-US"/>
        </w:rPr>
      </w:pPr>
    </w:p>
    <w:p>
      <w:pPr>
        <w:pStyle w:val="Default"/>
        <w:spacing w:before="0" w:after="120" w:line="240" w:lineRule="auto"/>
        <w:ind w:left="720"/>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w:t>
      </w:r>
      <w:r>
        <w:rPr>
          <w:rFonts w:ascii="Times New Roman" w:hAnsi="Times New Roman"/>
          <w:sz w:val="20"/>
          <w:szCs w:val="20"/>
          <w:rtl w:val="0"/>
          <w:lang w:val="en-US"/>
        </w:rPr>
        <w:t xml:space="preserve">The reference is undoubtedly to the Zechariah whose courageous testimony and cruel death are recorded in II Chron. 24:20-22. The reason why Jesus says </w:t>
      </w:r>
      <w:r>
        <w:rPr>
          <w:rFonts w:ascii="Times New Roman" w:hAnsi="Times New Roman" w:hint="default"/>
          <w:sz w:val="20"/>
          <w:szCs w:val="20"/>
          <w:rtl w:val="0"/>
          <w:lang w:val="en-US"/>
        </w:rPr>
        <w:t>‘</w:t>
      </w:r>
      <w:r>
        <w:rPr>
          <w:rFonts w:ascii="Times New Roman" w:hAnsi="Times New Roman"/>
          <w:sz w:val="20"/>
          <w:szCs w:val="20"/>
          <w:rtl w:val="0"/>
          <w:lang w:val="en-US"/>
        </w:rPr>
        <w:t>from Abel to Zechariah</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is that </w:t>
      </w:r>
      <w:r>
        <w:rPr>
          <w:rFonts w:ascii="Times New Roman" w:hAnsi="Times New Roman"/>
          <w:b w:val="1"/>
          <w:bCs w:val="1"/>
          <w:sz w:val="20"/>
          <w:szCs w:val="20"/>
          <w:rtl w:val="0"/>
          <w:lang w:val="en-US"/>
        </w:rPr>
        <w:t xml:space="preserve">according to the arrangement of the books in the Hebrew </w:t>
      </w:r>
      <w:r>
        <w:rPr>
          <w:rFonts w:ascii="Times New Roman" w:hAnsi="Times New Roman"/>
          <w:b w:val="1"/>
          <w:bCs w:val="1"/>
          <w:sz w:val="20"/>
          <w:szCs w:val="20"/>
          <w:rtl w:val="0"/>
          <w:lang w:val="en-US"/>
        </w:rPr>
        <w:t>Bible,</w:t>
      </w:r>
      <w:r>
        <w:rPr>
          <w:rFonts w:ascii="Times New Roman" w:hAnsi="Times New Roman"/>
          <w:sz w:val="20"/>
          <w:szCs w:val="20"/>
          <w:rtl w:val="0"/>
          <w:lang w:val="en-US"/>
        </w:rPr>
        <w:t xml:space="preserve"> Genesis (hence </w:t>
      </w:r>
      <w:r>
        <w:rPr>
          <w:rFonts w:ascii="Times New Roman" w:hAnsi="Times New Roman" w:hint="default"/>
          <w:sz w:val="20"/>
          <w:szCs w:val="20"/>
          <w:rtl w:val="0"/>
          <w:lang w:val="en-US"/>
        </w:rPr>
        <w:t>‘</w:t>
      </w:r>
      <w:r>
        <w:rPr>
          <w:rFonts w:ascii="Times New Roman" w:hAnsi="Times New Roman"/>
          <w:sz w:val="20"/>
          <w:szCs w:val="20"/>
          <w:rtl w:val="0"/>
          <w:lang w:val="en-US"/>
        </w:rPr>
        <w:t>Abel</w:t>
      </w:r>
      <w:r>
        <w:rPr>
          <w:rFonts w:ascii="Times New Roman" w:hAnsi="Times New Roman" w:hint="default"/>
          <w:sz w:val="20"/>
          <w:szCs w:val="20"/>
          <w:rtl w:val="0"/>
          <w:lang w:val="en-US"/>
        </w:rPr>
        <w:t>’</w:t>
      </w:r>
      <w:r>
        <w:rPr>
          <w:rFonts w:ascii="Times New Roman" w:hAnsi="Times New Roman"/>
          <w:sz w:val="20"/>
          <w:szCs w:val="20"/>
          <w:rtl w:val="0"/>
          <w:lang w:val="en-US"/>
        </w:rPr>
        <w:t xml:space="preserve">) comes first, </w:t>
      </w:r>
      <w:r>
        <w:rPr>
          <w:rFonts w:ascii="Times New Roman" w:hAnsi="Times New Roman"/>
          <w:b w:val="1"/>
          <w:bCs w:val="1"/>
          <w:sz w:val="20"/>
          <w:szCs w:val="20"/>
          <w:rtl w:val="0"/>
          <w:lang w:val="en-US"/>
        </w:rPr>
        <w:t xml:space="preserve">Chronicles (hence </w:t>
      </w:r>
      <w:r>
        <w:rPr>
          <w:rFonts w:ascii="Times New Roman" w:hAnsi="Times New Roman" w:hint="default"/>
          <w:b w:val="1"/>
          <w:bCs w:val="1"/>
          <w:sz w:val="20"/>
          <w:szCs w:val="20"/>
          <w:rtl w:val="0"/>
          <w:lang w:val="en-US"/>
        </w:rPr>
        <w:t>‘</w:t>
      </w:r>
      <w:r>
        <w:rPr>
          <w:rFonts w:ascii="Times New Roman" w:hAnsi="Times New Roman"/>
          <w:b w:val="1"/>
          <w:bCs w:val="1"/>
          <w:sz w:val="20"/>
          <w:szCs w:val="20"/>
          <w:rtl w:val="0"/>
          <w:lang w:val="en-US"/>
        </w:rPr>
        <w:t>Zechariah</w:t>
      </w:r>
      <w:r>
        <w:rPr>
          <w:rFonts w:ascii="Times New Roman" w:hAnsi="Times New Roman" w:hint="default"/>
          <w:b w:val="1"/>
          <w:bCs w:val="1"/>
          <w:sz w:val="20"/>
          <w:szCs w:val="20"/>
          <w:rtl w:val="0"/>
          <w:lang w:val="en-US"/>
        </w:rPr>
        <w:t>’</w:t>
      </w:r>
      <w:r>
        <w:rPr>
          <w:rFonts w:ascii="Times New Roman" w:hAnsi="Times New Roman"/>
          <w:b w:val="1"/>
          <w:bCs w:val="1"/>
          <w:sz w:val="20"/>
          <w:szCs w:val="20"/>
          <w:rtl w:val="0"/>
          <w:lang w:val="en-US"/>
        </w:rPr>
        <w:t>) last</w:t>
      </w:r>
      <w:r>
        <w:rPr>
          <w:rFonts w:ascii="Times New Roman" w:hAnsi="Times New Roman"/>
          <w:sz w:val="20"/>
          <w:szCs w:val="20"/>
          <w:rtl w:val="0"/>
          <w:lang w:val="en-US"/>
        </w:rPr>
        <w:t>.</w:t>
      </w:r>
      <w:r>
        <w:rPr>
          <w:rFonts w:ascii="Times New Roman" w:hAnsi="Times New Roman" w:hint="default"/>
          <w:sz w:val="20"/>
          <w:szCs w:val="20"/>
          <w:rtl w:val="0"/>
          <w:lang w:val="en-US"/>
        </w:rPr>
        <w:t xml:space="preserve">” </w:t>
      </w:r>
      <w:r>
        <w:rPr>
          <w:rFonts w:ascii="Times New Roman" w:hAnsi="Times New Roman"/>
          <w:sz w:val="20"/>
          <w:szCs w:val="20"/>
          <w:rtl w:val="0"/>
          <w:lang w:val="en-US"/>
        </w:rPr>
        <w:t>Hendriksen, Comm. on Mt. 23:34-36.</w:t>
      </w:r>
      <w:r>
        <w:rPr>
          <w:rFonts w:ascii="Times New Roman" w:hAnsi="Times New Roman"/>
          <w:sz w:val="20"/>
          <w:szCs w:val="20"/>
          <w:rtl w:val="0"/>
          <w:lang w:val="en-US"/>
        </w:rPr>
        <w:t xml:space="preserve"> [bold mine] </w:t>
      </w:r>
    </w:p>
    <w:p>
      <w:pPr>
        <w:pStyle w:val="Default"/>
        <w:spacing w:before="0" w:line="240" w:lineRule="auto"/>
        <w:ind w:left="720"/>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w:t>
      </w:r>
      <w:r>
        <w:rPr>
          <w:rFonts w:ascii="Times New Roman" w:hAnsi="Times New Roman"/>
          <w:sz w:val="20"/>
          <w:szCs w:val="20"/>
          <w:rtl w:val="0"/>
          <w:lang w:val="en-US"/>
        </w:rPr>
        <w:t xml:space="preserve">Abel is accounted a prophet because his form of sacrifice prefigured that of Christ. His murder is described at Ge 4:1-8, the first historical book of the Bible, while that of Zachariah is described at 2Ch 24:20-22, the last historical book of the Old Testament. </w:t>
      </w:r>
      <w:r>
        <w:rPr>
          <w:rFonts w:ascii="Times New Roman" w:hAnsi="Times New Roman"/>
          <w:b w:val="1"/>
          <w:bCs w:val="1"/>
          <w:sz w:val="20"/>
          <w:szCs w:val="20"/>
          <w:rtl w:val="0"/>
          <w:lang w:val="en-US"/>
        </w:rPr>
        <w:t>From the record of one, therefore, to the record of the other embraces the entire catalogue of the Old Testament martyrs</w:t>
      </w:r>
      <w:r>
        <w:rPr>
          <w:rFonts w:ascii="Times New Roman" w:hAnsi="Times New Roman"/>
          <w:sz w:val="20"/>
          <w:szCs w:val="20"/>
          <w:rtl w:val="0"/>
          <w:lang w:val="en-US"/>
        </w:rPr>
        <w:t>.</w:t>
      </w:r>
      <w:r>
        <w:rPr>
          <w:rFonts w:ascii="Times New Roman" w:hAnsi="Times New Roman" w:hint="default"/>
          <w:sz w:val="20"/>
          <w:szCs w:val="20"/>
          <w:rtl w:val="0"/>
          <w:lang w:val="en-US"/>
        </w:rPr>
        <w:t xml:space="preserve">” </w:t>
      </w:r>
      <w:r>
        <w:rPr>
          <w:rFonts w:ascii="Times New Roman" w:hAnsi="Times New Roman"/>
          <w:sz w:val="20"/>
          <w:szCs w:val="20"/>
          <w:rtl w:val="0"/>
          <w:lang w:val="en-US"/>
        </w:rPr>
        <w:t>FF Gospel, Lk. 11:51.</w:t>
      </w:r>
      <w:r>
        <w:rPr>
          <w:rFonts w:ascii="Times New Roman" w:hAnsi="Times New Roman"/>
          <w:sz w:val="20"/>
          <w:szCs w:val="20"/>
          <w:rtl w:val="0"/>
          <w:lang w:val="en-US"/>
        </w:rPr>
        <w:t xml:space="preserve"> [bold mine] </w:t>
      </w:r>
    </w:p>
    <w:p>
      <w:pPr>
        <w:pStyle w:val="Default"/>
        <w:spacing w:before="0" w:line="240" w:lineRule="auto"/>
        <w:ind w:left="720"/>
        <w:jc w:val="left"/>
        <w:rPr>
          <w:rFonts w:ascii="Times New Roman" w:cs="Times New Roman" w:hAnsi="Times New Roman" w:eastAsia="Times New Roman"/>
          <w:sz w:val="20"/>
          <w:szCs w:val="20"/>
          <w:lang w:val="en-US"/>
        </w:rPr>
      </w:pPr>
    </w:p>
    <w:p>
      <w:pPr>
        <w:pStyle w:val="Default"/>
        <w:spacing w:before="0" w:line="240" w:lineRule="auto"/>
        <w:ind w:left="720" w:firstLine="0"/>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w:t>
      </w:r>
      <w:r>
        <w:rPr>
          <w:rFonts w:ascii="Times New Roman" w:hAnsi="Times New Roman"/>
          <w:sz w:val="20"/>
          <w:szCs w:val="20"/>
          <w:rtl w:val="0"/>
          <w:lang w:val="en-US"/>
        </w:rPr>
        <w:t xml:space="preserve">The confusion in the present issue appears to center about the two canons: The </w:t>
      </w:r>
      <w:r>
        <w:rPr>
          <w:rFonts w:ascii="Times New Roman" w:hAnsi="Times New Roman"/>
          <w:b w:val="1"/>
          <w:bCs w:val="1"/>
          <w:sz w:val="20"/>
          <w:szCs w:val="20"/>
          <w:rtl w:val="0"/>
          <w:lang w:val="en-US"/>
        </w:rPr>
        <w:t>Palestinian Canon</w:t>
      </w:r>
      <w:r>
        <w:rPr>
          <w:rFonts w:ascii="Times New Roman" w:hAnsi="Times New Roman"/>
          <w:sz w:val="20"/>
          <w:szCs w:val="20"/>
          <w:rtl w:val="0"/>
          <w:lang w:val="en-US"/>
        </w:rPr>
        <w:t xml:space="preserve"> (containing </w:t>
      </w:r>
      <w:r>
        <w:rPr>
          <w:rFonts w:ascii="Times New Roman" w:hAnsi="Times New Roman"/>
          <w:b w:val="1"/>
          <w:bCs w:val="1"/>
          <w:sz w:val="20"/>
          <w:szCs w:val="20"/>
          <w:rtl w:val="0"/>
          <w:lang w:val="en-US"/>
        </w:rPr>
        <w:t>twenty-two books in Hebrew</w:t>
      </w:r>
      <w:r>
        <w:rPr>
          <w:rFonts w:ascii="Times New Roman" w:hAnsi="Times New Roman"/>
          <w:sz w:val="20"/>
          <w:szCs w:val="20"/>
          <w:rtl w:val="0"/>
          <w:lang w:val="en-US"/>
        </w:rPr>
        <w:t xml:space="preserve">, thirty-nine in English) and the Alexandrian Canon (with the additional fourteen or fifteen books). </w:t>
      </w:r>
      <w:r>
        <w:rPr>
          <w:rFonts w:ascii="Times New Roman" w:hAnsi="Times New Roman"/>
          <w:b w:val="1"/>
          <w:bCs w:val="1"/>
          <w:sz w:val="20"/>
          <w:szCs w:val="20"/>
          <w:rtl w:val="0"/>
          <w:lang w:val="en-US"/>
        </w:rPr>
        <w:t>The former is the Hebrew canon</w:t>
      </w:r>
      <w:r>
        <w:rPr>
          <w:rFonts w:ascii="Times New Roman" w:hAnsi="Times New Roman"/>
          <w:sz w:val="20"/>
          <w:szCs w:val="20"/>
          <w:rtl w:val="0"/>
          <w:lang w:val="en-US"/>
        </w:rPr>
        <w:t xml:space="preserve">, which arose in Palestine and was accepted by the Jews. The latter is the Greek canon, which allegedly arose in Alexandria, Egypt, where the Hebrew Scriptures were translated into the Greek Septuagint (LXX) at about 250 </w:t>
      </w:r>
      <w:r>
        <w:rPr>
          <w:rFonts w:ascii="Times New Roman" w:hAnsi="Times New Roman"/>
          <w:sz w:val="20"/>
          <w:szCs w:val="20"/>
          <w:rtl w:val="0"/>
          <w:lang w:val="en-US"/>
        </w:rPr>
        <w:t>B.C.</w:t>
      </w:r>
      <w:r>
        <w:rPr>
          <w:rFonts w:ascii="Times New Roman" w:hAnsi="Times New Roman"/>
          <w:sz w:val="20"/>
          <w:szCs w:val="20"/>
          <w:rtl w:val="0"/>
          <w:lang w:val="en-US"/>
        </w:rPr>
        <w:t xml:space="preserve"> and following.</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GIB, </w:t>
      </w:r>
      <w:r>
        <w:rPr>
          <w:rFonts w:ascii="Times New Roman" w:hAnsi="Times New Roman"/>
          <w:sz w:val="20"/>
          <w:szCs w:val="20"/>
          <w:rtl w:val="0"/>
          <w:lang w:val="en-US"/>
        </w:rPr>
        <w:t>p. 167.</w:t>
      </w:r>
    </w:p>
    <w:p>
      <w:pPr>
        <w:pStyle w:val="Default"/>
        <w:spacing w:before="0" w:line="240" w:lineRule="auto"/>
        <w:ind w:left="720" w:firstLine="0"/>
        <w:jc w:val="left"/>
        <w:rPr>
          <w:rFonts w:ascii="Times New Roman" w:cs="Times New Roman" w:hAnsi="Times New Roman" w:eastAsia="Times New Roman"/>
          <w:lang w:val="en-US"/>
        </w:rPr>
      </w:pPr>
    </w:p>
    <w:p>
      <w:pPr>
        <w:pStyle w:val="Default"/>
        <w:numPr>
          <w:ilvl w:val="1"/>
          <w:numId w:val="7"/>
        </w:numPr>
        <w:suppressAutoHyphens w:val="1"/>
        <w:spacing w:before="0" w:line="240" w:lineRule="auto"/>
        <w:jc w:val="left"/>
        <w:rPr>
          <w:rFonts w:ascii="Times New Roman" w:hAnsi="Times New Roman"/>
          <w:lang w:val="en-US"/>
        </w:rPr>
      </w:pPr>
      <w:r>
        <w:rPr>
          <w:rFonts w:ascii="Times New Roman" w:hAnsi="Times New Roman"/>
          <w:rtl w:val="0"/>
          <w:lang w:val="en-US"/>
        </w:rPr>
        <w:t xml:space="preserve">They were never quoted or referred to as the Word of God by Jesus, the apostles, or the New Testament prophets. Compare, </w:t>
      </w:r>
      <w:r>
        <w:rPr>
          <w:rFonts w:ascii="Times New Roman" w:hAnsi="Times New Roman" w:hint="default"/>
          <w:rtl w:val="1"/>
          <w:lang w:val="ar-SA" w:bidi="ar-SA"/>
        </w:rPr>
        <w:t>“</w:t>
      </w:r>
      <w:r>
        <w:rPr>
          <w:rFonts w:ascii="Times New Roman" w:hAnsi="Times New Roman"/>
          <w:rtl w:val="0"/>
          <w:lang w:val="en-US"/>
        </w:rPr>
        <w:t>It is written</w:t>
      </w:r>
      <w:r>
        <w:rPr>
          <w:rFonts w:ascii="Times New Roman" w:hAnsi="Times New Roman" w:hint="default"/>
          <w:rtl w:val="0"/>
        </w:rPr>
        <w:t xml:space="preserve">” </w:t>
      </w:r>
      <w:r>
        <w:rPr>
          <w:rFonts w:ascii="Times New Roman" w:hAnsi="Times New Roman"/>
          <w:rtl w:val="0"/>
        </w:rPr>
        <w:t>(</w:t>
      </w:r>
      <w:r>
        <w:rPr>
          <w:rFonts w:ascii="Times New Roman" w:hAnsi="Times New Roman"/>
          <w:b w:val="1"/>
          <w:bCs w:val="1"/>
          <w:rtl w:val="0"/>
          <w:lang w:val="ru-RU"/>
        </w:rPr>
        <w:t>Mt 4:7</w:t>
      </w:r>
      <w:r>
        <w:rPr>
          <w:rFonts w:ascii="Times New Roman" w:hAnsi="Times New Roman"/>
          <w:rtl w:val="0"/>
        </w:rPr>
        <w:t xml:space="preserve">), </w:t>
      </w:r>
      <w:r>
        <w:rPr>
          <w:rFonts w:ascii="Times New Roman" w:hAnsi="Times New Roman" w:hint="default"/>
          <w:rtl w:val="1"/>
          <w:lang w:val="ar-SA" w:bidi="ar-SA"/>
        </w:rPr>
        <w:t>“</w:t>
      </w:r>
      <w:r>
        <w:rPr>
          <w:rFonts w:ascii="Times New Roman" w:hAnsi="Times New Roman"/>
          <w:rtl w:val="0"/>
          <w:lang w:val="en-US"/>
        </w:rPr>
        <w:t>God said</w:t>
      </w:r>
      <w:r>
        <w:rPr>
          <w:rFonts w:ascii="Times New Roman" w:hAnsi="Times New Roman" w:hint="default"/>
          <w:rtl w:val="0"/>
        </w:rPr>
        <w:t xml:space="preserve">” </w:t>
      </w:r>
      <w:r>
        <w:rPr>
          <w:rFonts w:ascii="Times New Roman" w:hAnsi="Times New Roman"/>
          <w:rtl w:val="0"/>
        </w:rPr>
        <w:t>(</w:t>
      </w:r>
      <w:r>
        <w:rPr>
          <w:rFonts w:ascii="Times New Roman" w:hAnsi="Times New Roman"/>
          <w:b w:val="1"/>
          <w:bCs w:val="1"/>
          <w:rtl w:val="0"/>
          <w:lang w:val="de-DE"/>
        </w:rPr>
        <w:t>Mt 15:4</w:t>
      </w:r>
      <w:r>
        <w:rPr>
          <w:rFonts w:ascii="Times New Roman" w:hAnsi="Times New Roman"/>
          <w:rtl w:val="0"/>
        </w:rPr>
        <w:t xml:space="preserve">), </w:t>
      </w:r>
      <w:r>
        <w:rPr>
          <w:rFonts w:ascii="Times New Roman" w:hAnsi="Times New Roman" w:hint="default"/>
          <w:rtl w:val="1"/>
          <w:lang w:val="ar-SA" w:bidi="ar-SA"/>
        </w:rPr>
        <w:t>“</w:t>
      </w:r>
      <w:r>
        <w:rPr>
          <w:rFonts w:ascii="Times New Roman" w:hAnsi="Times New Roman"/>
          <w:rtl w:val="0"/>
          <w:lang w:val="en-US"/>
        </w:rPr>
        <w:t>Scripture says</w:t>
      </w:r>
      <w:r>
        <w:rPr>
          <w:rFonts w:ascii="Times New Roman" w:hAnsi="Times New Roman" w:hint="default"/>
          <w:rtl w:val="0"/>
        </w:rPr>
        <w:t xml:space="preserve">” </w:t>
      </w:r>
      <w:r>
        <w:rPr>
          <w:rFonts w:ascii="Times New Roman" w:hAnsi="Times New Roman"/>
          <w:rtl w:val="0"/>
        </w:rPr>
        <w:t>(</w:t>
      </w:r>
      <w:r>
        <w:rPr>
          <w:rFonts w:ascii="Times New Roman" w:hAnsi="Times New Roman"/>
          <w:b w:val="1"/>
          <w:bCs w:val="1"/>
          <w:rtl w:val="0"/>
          <w:lang w:val="it-IT"/>
        </w:rPr>
        <w:t>Rom 10:11</w:t>
      </w:r>
      <w:r>
        <w:rPr>
          <w:rFonts w:ascii="Times New Roman" w:hAnsi="Times New Roman"/>
          <w:rtl w:val="0"/>
          <w:lang w:val="fr-FR"/>
        </w:rPr>
        <w:t>), etc.</w:t>
      </w:r>
    </w:p>
    <w:p>
      <w:pPr>
        <w:pStyle w:val="Default"/>
        <w:suppressAutoHyphens w:val="1"/>
        <w:spacing w:before="0" w:line="240" w:lineRule="auto"/>
        <w:jc w:val="left"/>
        <w:rPr>
          <w:rFonts w:ascii="Times New Roman" w:cs="Times New Roman" w:hAnsi="Times New Roman" w:eastAsia="Times New Roman"/>
        </w:rPr>
      </w:pPr>
    </w:p>
    <w:p>
      <w:pPr>
        <w:pStyle w:val="Default"/>
        <w:numPr>
          <w:ilvl w:val="1"/>
          <w:numId w:val="7"/>
        </w:numPr>
        <w:suppressAutoHyphens w:val="1"/>
        <w:spacing w:before="0" w:line="240" w:lineRule="auto"/>
        <w:jc w:val="left"/>
        <w:rPr>
          <w:rFonts w:ascii="Times New Roman" w:hAnsi="Times New Roman"/>
          <w:lang w:val="en-US"/>
        </w:rPr>
      </w:pPr>
      <w:r>
        <w:rPr>
          <w:rFonts w:ascii="Times New Roman" w:hAnsi="Times New Roman"/>
          <w:rtl w:val="0"/>
          <w:lang w:val="en-US"/>
        </w:rPr>
        <w:t>They never claimed inspiration. In fact, they were written after the period Old Testament revelation was recognized to have ceased.</w:t>
      </w:r>
    </w:p>
    <w:p>
      <w:pPr>
        <w:pStyle w:val="Default"/>
        <w:suppressAutoHyphens w:val="1"/>
        <w:spacing w:before="0" w:line="240" w:lineRule="auto"/>
        <w:jc w:val="left"/>
        <w:rPr>
          <w:rFonts w:ascii="Times New Roman" w:cs="Times New Roman" w:hAnsi="Times New Roman" w:eastAsia="Times New Roman"/>
          <w:sz w:val="16"/>
          <w:szCs w:val="16"/>
        </w:rPr>
      </w:pPr>
    </w:p>
    <w:p>
      <w:pPr>
        <w:pStyle w:val="Default"/>
        <w:spacing w:before="0" w:after="120" w:line="240" w:lineRule="auto"/>
        <w:ind w:left="720" w:firstLine="0"/>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 xml:space="preserve">Testimony of antiquity against accepting the Apocrypha as canonical (GIB, pp. </w:t>
      </w:r>
      <w:r>
        <w:rPr>
          <w:rFonts w:ascii="Times New Roman" w:hAnsi="Times New Roman"/>
          <w:sz w:val="20"/>
          <w:szCs w:val="20"/>
          <w:rtl w:val="0"/>
          <w:lang w:val="en-US"/>
        </w:rPr>
        <w:t>175, 176</w:t>
      </w:r>
      <w:r>
        <w:rPr>
          <w:rFonts w:ascii="Times New Roman" w:hAnsi="Times New Roman"/>
          <w:sz w:val="20"/>
          <w:szCs w:val="20"/>
          <w:rtl w:val="0"/>
          <w:lang w:val="en-US"/>
        </w:rPr>
        <w:t>):</w:t>
      </w:r>
    </w:p>
    <w:p>
      <w:pPr>
        <w:pStyle w:val="Default"/>
        <w:numPr>
          <w:ilvl w:val="0"/>
          <w:numId w:val="9"/>
        </w:numPr>
        <w:spacing w:before="0" w:line="240" w:lineRule="auto"/>
        <w:jc w:val="left"/>
        <w:rPr>
          <w:rFonts w:ascii="Times New Roman" w:hAnsi="Times New Roman"/>
          <w:sz w:val="18"/>
          <w:szCs w:val="18"/>
          <w:lang w:val="en-US"/>
        </w:rPr>
      </w:pP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18"/>
          <w:szCs w:val="18"/>
          <w:u w:val="none"/>
          <w:shd w:val="nil" w:color="auto" w:fill="auto"/>
          <w:vertAlign w:val="baseline"/>
          <w:rtl w:val="0"/>
          <w:lang w:val="en-US"/>
          <w14:textFill>
            <w14:solidFill>
              <w14:srgbClr w14:val="000000"/>
            </w14:solidFill>
          </w14:textFill>
        </w:rPr>
        <w:t>Jesus, apostles, &amp; NT prophets</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never quote as Word of God</w:t>
      </w:r>
      <w:r>
        <w:rPr>
          <w:rFonts w:ascii="Times New Roman" w:hAnsi="Times New Roman"/>
          <w:sz w:val="20"/>
          <w:szCs w:val="20"/>
          <w:rtl w:val="0"/>
          <w:lang w:val="en-US"/>
        </w:rPr>
        <w:t>.</w:t>
      </w:r>
    </w:p>
    <w:p>
      <w:pPr>
        <w:pStyle w:val="Default"/>
        <w:tabs>
          <w:tab w:val="left" w:pos="1080"/>
        </w:tabs>
        <w:spacing w:before="0" w:line="240" w:lineRule="auto"/>
        <w:jc w:val="left"/>
        <w:rPr>
          <w:rFonts w:ascii="Times New Roman" w:cs="Times New Roman" w:hAnsi="Times New Roman" w:eastAsia="Times New Roman"/>
          <w:sz w:val="12"/>
          <w:szCs w:val="12"/>
          <w:lang w:val="en-US"/>
        </w:rPr>
      </w:pPr>
    </w:p>
    <w:p>
      <w:pPr>
        <w:pStyle w:val="Default"/>
        <w:numPr>
          <w:ilvl w:val="0"/>
          <w:numId w:val="10"/>
        </w:numPr>
        <w:spacing w:before="0" w:line="240" w:lineRule="auto"/>
        <w:jc w:val="left"/>
        <w:rPr>
          <w:rFonts w:ascii="Times New Roman" w:hAnsi="Times New Roman"/>
          <w:sz w:val="20"/>
          <w:szCs w:val="20"/>
          <w:lang w:val="en-US"/>
        </w:rPr>
      </w:pP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Philo</w:t>
      </w:r>
      <w:r>
        <w:rPr>
          <w:rFonts w:ascii="Times New Roman" w:hAnsi="Times New Roman"/>
          <w:sz w:val="20"/>
          <w:szCs w:val="20"/>
          <w:rtl w:val="0"/>
          <w:lang w:val="en-US"/>
        </w:rPr>
        <w:t xml:space="preserve"> [FI lo], Alexandrian Jewish philosopher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20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B.C.</w:t>
      </w:r>
      <w:r>
        <w:rPr>
          <w:rStyle w:val="green highlight TNR12"/>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A.D.</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40</w:t>
      </w:r>
      <w:r>
        <w:rPr>
          <w:rFonts w:ascii="Times New Roman" w:hAnsi="Times New Roman"/>
          <w:sz w:val="20"/>
          <w:szCs w:val="20"/>
          <w:rtl w:val="0"/>
          <w:lang w:val="en-US"/>
        </w:rPr>
        <w:t xml:space="preserve">) - quoted OT prolifically, but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never quoted the Apocrypha as inspired</w:t>
      </w:r>
      <w:r>
        <w:rPr>
          <w:rFonts w:ascii="Times New Roman" w:hAnsi="Times New Roman"/>
          <w:sz w:val="20"/>
          <w:szCs w:val="20"/>
          <w:rtl w:val="0"/>
          <w:lang w:val="en-US"/>
        </w:rPr>
        <w:t>.</w:t>
      </w:r>
    </w:p>
    <w:p>
      <w:pPr>
        <w:pStyle w:val="Default"/>
        <w:tabs>
          <w:tab w:val="left" w:pos="1080"/>
        </w:tabs>
        <w:spacing w:before="0" w:line="240" w:lineRule="auto"/>
        <w:jc w:val="left"/>
        <w:rPr>
          <w:rFonts w:ascii="Times New Roman" w:cs="Times New Roman" w:hAnsi="Times New Roman" w:eastAsia="Times New Roman"/>
          <w:sz w:val="12"/>
          <w:szCs w:val="12"/>
          <w:lang w:val="en-US"/>
        </w:rPr>
      </w:pPr>
    </w:p>
    <w:p>
      <w:pPr>
        <w:pStyle w:val="Default"/>
        <w:numPr>
          <w:ilvl w:val="0"/>
          <w:numId w:val="10"/>
        </w:numPr>
        <w:spacing w:before="0" w:line="240" w:lineRule="auto"/>
        <w:jc w:val="left"/>
        <w:rPr>
          <w:rFonts w:ascii="Times New Roman" w:hAnsi="Times New Roman"/>
          <w:sz w:val="20"/>
          <w:szCs w:val="20"/>
          <w:lang w:val="en-US"/>
        </w:rPr>
      </w:pP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Josephus</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(A.D. 30</w:t>
      </w:r>
      <w:r>
        <w:rPr>
          <w:rStyle w:val="green highlight TNR12"/>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100)</w:t>
      </w:r>
      <w:r>
        <w:rPr>
          <w:rFonts w:ascii="Times New Roman" w:hAnsi="Times New Roman"/>
          <w:sz w:val="20"/>
          <w:szCs w:val="20"/>
          <w:rtl w:val="0"/>
          <w:lang w:val="en-US"/>
        </w:rPr>
        <w:t xml:space="preserve">, Jewish historian,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explicitly excludes the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Apocrypha</w:t>
      </w:r>
      <w:r>
        <w:rPr>
          <w:rFonts w:ascii="Times New Roman" w:hAnsi="Times New Roman"/>
          <w:sz w:val="20"/>
          <w:szCs w:val="20"/>
          <w:rtl w:val="0"/>
          <w:lang w:val="en-US"/>
        </w:rPr>
        <w:t xml:space="preserve">, numbering the OT books at 22.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Never quotes Apocrypha as Scripture</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p>
    <w:p>
      <w:pPr>
        <w:pStyle w:val="Default"/>
        <w:tabs>
          <w:tab w:val="left" w:pos="1080"/>
        </w:tabs>
        <w:spacing w:before="0" w:line="240" w:lineRule="auto"/>
        <w:jc w:val="left"/>
        <w:rPr>
          <w:rFonts w:ascii="Times New Roman" w:cs="Times New Roman" w:hAnsi="Times New Roman" w:eastAsia="Times New Roman"/>
          <w:sz w:val="12"/>
          <w:szCs w:val="12"/>
          <w:lang w:val="en-US"/>
        </w:rPr>
      </w:pPr>
    </w:p>
    <w:p>
      <w:pPr>
        <w:pStyle w:val="Default"/>
        <w:numPr>
          <w:ilvl w:val="0"/>
          <w:numId w:val="10"/>
        </w:numPr>
        <w:spacing w:before="0" w:line="240" w:lineRule="auto"/>
        <w:jc w:val="left"/>
        <w:rPr>
          <w:rFonts w:ascii="Times New Roman" w:hAnsi="Times New Roman"/>
          <w:sz w:val="20"/>
          <w:szCs w:val="20"/>
          <w:lang w:val="en-US"/>
        </w:rPr>
      </w:pP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Jewish scholars of Jamnia (90</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AD) do</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not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recognize it</w:t>
      </w:r>
      <w:r>
        <w:rPr>
          <w:rFonts w:ascii="Times New Roman" w:hAnsi="Times New Roman"/>
          <w:sz w:val="20"/>
          <w:szCs w:val="20"/>
          <w:rtl w:val="0"/>
          <w:lang w:val="en-US"/>
        </w:rPr>
        <w:t>.</w:t>
      </w:r>
    </w:p>
    <w:p>
      <w:pPr>
        <w:pStyle w:val="Default"/>
        <w:tabs>
          <w:tab w:val="left" w:pos="1080"/>
        </w:tabs>
        <w:spacing w:before="0" w:line="240" w:lineRule="auto"/>
        <w:jc w:val="left"/>
        <w:rPr>
          <w:rFonts w:ascii="Times New Roman" w:cs="Times New Roman" w:hAnsi="Times New Roman" w:eastAsia="Times New Roman"/>
          <w:sz w:val="12"/>
          <w:szCs w:val="12"/>
          <w:lang w:val="en-US"/>
        </w:rPr>
      </w:pPr>
    </w:p>
    <w:p>
      <w:pPr>
        <w:pStyle w:val="Default"/>
        <w:numPr>
          <w:ilvl w:val="0"/>
          <w:numId w:val="10"/>
        </w:numPr>
        <w:spacing w:before="0" w:line="240" w:lineRule="auto"/>
        <w:jc w:val="left"/>
        <w:rPr>
          <w:rFonts w:ascii="Times New Roman" w:hAnsi="Times New Roman"/>
          <w:sz w:val="20"/>
          <w:szCs w:val="20"/>
          <w:lang w:val="en-US"/>
        </w:rPr>
      </w:pP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No </w:t>
      </w:r>
      <w:r>
        <w:rPr>
          <w:rStyle w:val="green highlight TNR12"/>
          <w:rFonts w:ascii="Times New Roman" w:cs="Arial Unicode MS" w:hAnsi="Times New Roman" w:eastAsia="Arial Unicode MS" w:hint="default"/>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council</w:t>
      </w:r>
      <w:r>
        <w:rPr>
          <w:rStyle w:val="green highlight TNR12"/>
          <w:rFonts w:ascii="Times New Roman" w:cs="Arial Unicode MS" w:hAnsi="Times New Roman" w:eastAsia="Arial Unicode MS" w:hint="default"/>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of </w:t>
      </w:r>
      <w:r>
        <w:rPr>
          <w:rStyle w:val="green highlight TNR12"/>
          <w:rFonts w:ascii="Times New Roman" w:cs="Arial Unicode MS" w:hAnsi="Times New Roman" w:eastAsia="Arial Unicode MS" w:hint="default"/>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the Church</w:t>
      </w:r>
      <w:r>
        <w:rPr>
          <w:rStyle w:val="green highlight TNR12"/>
          <w:rFonts w:ascii="Times New Roman" w:cs="Arial Unicode MS" w:hAnsi="Times New Roman" w:eastAsia="Arial Unicode MS" w:hint="default"/>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Fonts w:ascii="Times New Roman" w:hAnsi="Times New Roman"/>
          <w:b w:val="1"/>
          <w:bCs w:val="1"/>
          <w:sz w:val="20"/>
          <w:szCs w:val="20"/>
          <w:rtl w:val="0"/>
          <w:lang w:val="en-US"/>
        </w:rPr>
        <w:t xml:space="preserve"> </w:t>
      </w:r>
      <w:r>
        <w:rPr>
          <w:rFonts w:ascii="Times New Roman" w:hAnsi="Times New Roman"/>
          <w:sz w:val="20"/>
          <w:szCs w:val="20"/>
          <w:rtl w:val="0"/>
          <w:lang w:val="en-US"/>
        </w:rPr>
        <w:t>recognizes it</w:t>
      </w:r>
      <w:r>
        <w:rPr>
          <w:rFonts w:ascii="Times New Roman" w:hAnsi="Times New Roman"/>
          <w:sz w:val="20"/>
          <w:szCs w:val="20"/>
          <w:rtl w:val="0"/>
          <w:lang w:val="en-US"/>
        </w:rPr>
        <w:t xml:space="preserve"> as inspired </w:t>
      </w:r>
      <w:r>
        <w:rPr>
          <w:rStyle w:val="green highlight"/>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for the</w:t>
      </w:r>
      <w:r>
        <w:rPr>
          <w:rStyle w:val="green highlight"/>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first four centuries</w:t>
      </w:r>
      <w:r>
        <w:rPr>
          <w:rFonts w:ascii="Times New Roman" w:hAnsi="Times New Roman"/>
          <w:sz w:val="20"/>
          <w:szCs w:val="20"/>
          <w:rtl w:val="0"/>
          <w:lang w:val="en-US"/>
        </w:rPr>
        <w:t>.</w:t>
      </w:r>
    </w:p>
    <w:p>
      <w:pPr>
        <w:pStyle w:val="Default"/>
        <w:tabs>
          <w:tab w:val="left" w:pos="1080"/>
        </w:tabs>
        <w:spacing w:before="0" w:line="240" w:lineRule="auto"/>
        <w:jc w:val="left"/>
        <w:rPr>
          <w:rFonts w:ascii="Times New Roman" w:cs="Times New Roman" w:hAnsi="Times New Roman" w:eastAsia="Times New Roman"/>
          <w:sz w:val="12"/>
          <w:szCs w:val="12"/>
          <w:lang w:val="en-US"/>
        </w:rPr>
      </w:pPr>
    </w:p>
    <w:p>
      <w:pPr>
        <w:pStyle w:val="Default"/>
        <w:numPr>
          <w:ilvl w:val="0"/>
          <w:numId w:val="10"/>
        </w:numPr>
        <w:spacing w:before="0" w:line="240" w:lineRule="auto"/>
        <w:jc w:val="left"/>
        <w:rPr>
          <w:rFonts w:ascii="Times New Roman" w:hAnsi="Times New Roman"/>
          <w:sz w:val="20"/>
          <w:szCs w:val="20"/>
          <w:lang w:val="en-US"/>
        </w:rPr>
      </w:pP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Many of the church </w:t>
      </w:r>
      <w:r>
        <w:rPr>
          <w:rStyle w:val="green highlight TNR12"/>
          <w:rFonts w:ascii="Times New Roman" w:cs="Arial Unicode MS" w:hAnsi="Times New Roman" w:eastAsia="Arial Unicode MS" w:hint="default"/>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fathers</w:t>
      </w:r>
      <w:r>
        <w:rPr>
          <w:rStyle w:val="green highlight TNR12"/>
          <w:rFonts w:ascii="Times New Roman" w:cs="Arial Unicode MS" w:hAnsi="Times New Roman" w:eastAsia="Arial Unicode MS" w:hint="default"/>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Fonts w:ascii="Times New Roman" w:hAnsi="Times New Roman"/>
          <w:b w:val="1"/>
          <w:bCs w:val="1"/>
          <w:sz w:val="20"/>
          <w:szCs w:val="20"/>
          <w:rtl w:val="0"/>
          <w:lang w:val="en-US"/>
        </w:rPr>
        <w:t xml:space="preserve"> spoke </w:t>
      </w:r>
      <w:r>
        <w:rPr>
          <w:rFonts w:ascii="Times New Roman" w:hAnsi="Times New Roman"/>
          <w:b w:val="1"/>
          <w:bCs w:val="1"/>
          <w:sz w:val="20"/>
          <w:szCs w:val="20"/>
          <w:rtl w:val="0"/>
          <w:lang w:val="en-US"/>
        </w:rPr>
        <w:t>against it</w:t>
      </w:r>
      <w:r>
        <w:rPr>
          <w:rFonts w:ascii="Times New Roman" w:hAnsi="Times New Roman"/>
          <w:sz w:val="20"/>
          <w:szCs w:val="20"/>
          <w:rtl w:val="0"/>
          <w:lang w:val="en-US"/>
        </w:rPr>
        <w:t>, e.g., Origen, Cyril of Jerusalem, Athanasius.</w:t>
      </w:r>
    </w:p>
    <w:p>
      <w:pPr>
        <w:pStyle w:val="Default"/>
        <w:tabs>
          <w:tab w:val="left" w:pos="1080"/>
        </w:tabs>
        <w:spacing w:before="0" w:line="240" w:lineRule="auto"/>
        <w:jc w:val="left"/>
        <w:rPr>
          <w:rFonts w:ascii="Times New Roman" w:cs="Times New Roman" w:hAnsi="Times New Roman" w:eastAsia="Times New Roman"/>
          <w:sz w:val="12"/>
          <w:szCs w:val="12"/>
          <w:lang w:val="en-US"/>
        </w:rPr>
      </w:pPr>
    </w:p>
    <w:p>
      <w:pPr>
        <w:pStyle w:val="Default"/>
        <w:numPr>
          <w:ilvl w:val="0"/>
          <w:numId w:val="10"/>
        </w:numPr>
        <w:spacing w:before="0" w:line="240" w:lineRule="auto"/>
        <w:jc w:val="left"/>
        <w:rPr>
          <w:rFonts w:ascii="Times New Roman" w:hAnsi="Times New Roman"/>
          <w:sz w:val="20"/>
          <w:szCs w:val="20"/>
          <w:lang w:val="en-US"/>
        </w:rPr>
      </w:pP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Jerome (340-420 </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A.D</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translator of the Vulgate</w:t>
      </w:r>
      <w:r>
        <w:rPr>
          <w:rFonts w:ascii="Times New Roman" w:hAnsi="Times New Roman"/>
          <w:sz w:val="20"/>
          <w:szCs w:val="20"/>
          <w:rtl w:val="0"/>
          <w:lang w:val="en-US"/>
        </w:rPr>
        <w:t xml:space="preserve">, rejected the </w:t>
      </w:r>
      <w:r>
        <w:rPr>
          <w:rFonts w:ascii="Times New Roman" w:hAnsi="Times New Roman"/>
          <w:sz w:val="20"/>
          <w:szCs w:val="20"/>
          <w:rtl w:val="0"/>
          <w:lang w:val="en-US"/>
        </w:rPr>
        <w:t>Apocrypha</w:t>
      </w:r>
      <w:r>
        <w:rPr>
          <w:rFonts w:ascii="Times New Roman" w:hAnsi="Times New Roman"/>
          <w:sz w:val="20"/>
          <w:szCs w:val="20"/>
          <w:rtl w:val="0"/>
          <w:lang w:val="en-US"/>
        </w:rPr>
        <w:t>.</w:t>
      </w:r>
    </w:p>
    <w:p>
      <w:pPr>
        <w:pStyle w:val="Default"/>
        <w:tabs>
          <w:tab w:val="left" w:pos="1080"/>
        </w:tabs>
        <w:spacing w:before="0" w:line="240" w:lineRule="auto"/>
        <w:jc w:val="left"/>
        <w:rPr>
          <w:rFonts w:ascii="Times New Roman" w:cs="Times New Roman" w:hAnsi="Times New Roman" w:eastAsia="Times New Roman"/>
          <w:sz w:val="12"/>
          <w:szCs w:val="12"/>
          <w:lang w:val="en-US"/>
        </w:rPr>
      </w:pPr>
    </w:p>
    <w:p>
      <w:pPr>
        <w:pStyle w:val="Default"/>
        <w:numPr>
          <w:ilvl w:val="0"/>
          <w:numId w:val="10"/>
        </w:numPr>
        <w:spacing w:before="0" w:line="240" w:lineRule="auto"/>
        <w:jc w:val="left"/>
        <w:rPr>
          <w:rFonts w:ascii="Times New Roman" w:hAnsi="Times New Roman"/>
          <w:sz w:val="20"/>
          <w:szCs w:val="20"/>
          <w:lang w:val="en-US"/>
        </w:rPr>
      </w:pPr>
      <w:r>
        <w:rPr>
          <w:rFonts w:ascii="Times New Roman" w:hAnsi="Times New Roman"/>
          <w:sz w:val="20"/>
          <w:szCs w:val="20"/>
          <w:rtl w:val="0"/>
          <w:lang w:val="en-US"/>
        </w:rPr>
        <w:t xml:space="preserve">While the Septuagint MSS of the </w:t>
      </w:r>
      <w:r>
        <w:rPr>
          <w:rFonts w:ascii="Times New Roman" w:hAnsi="Times New Roman"/>
          <w:b w:val="1"/>
          <w:bCs w:val="1"/>
          <w:sz w:val="20"/>
          <w:szCs w:val="20"/>
          <w:rtl w:val="0"/>
          <w:lang w:val="en-US"/>
        </w:rPr>
        <w:t>4</w:t>
      </w:r>
      <w:r>
        <w:rPr>
          <w:rFonts w:ascii="Times New Roman" w:hAnsi="Times New Roman"/>
          <w:b w:val="1"/>
          <w:bCs w:val="1"/>
          <w:sz w:val="20"/>
          <w:szCs w:val="20"/>
          <w:vertAlign w:val="superscript"/>
          <w:rtl w:val="0"/>
          <w:lang w:val="en-US"/>
        </w:rPr>
        <w:t>th</w:t>
      </w:r>
      <w:r>
        <w:rPr>
          <w:rFonts w:ascii="Times New Roman" w:hAnsi="Times New Roman"/>
          <w:b w:val="1"/>
          <w:bCs w:val="1"/>
          <w:sz w:val="20"/>
          <w:szCs w:val="20"/>
          <w:rtl w:val="0"/>
          <w:lang w:val="en-US"/>
        </w:rPr>
        <w:t xml:space="preserve"> century</w:t>
      </w:r>
      <w:r>
        <w:rPr>
          <w:rFonts w:ascii="Times New Roman" w:hAnsi="Times New Roman"/>
          <w:sz w:val="20"/>
          <w:szCs w:val="20"/>
          <w:rtl w:val="0"/>
          <w:lang w:val="en-US"/>
        </w:rPr>
        <w:t xml:space="preserve"> contained the Apocryphal books, </w:t>
      </w:r>
      <w:r>
        <w:rPr>
          <w:rFonts w:ascii="Times New Roman" w:hAnsi="Times New Roman" w:hint="default"/>
          <w:b w:val="1"/>
          <w:bCs w:val="1"/>
          <w:sz w:val="20"/>
          <w:szCs w:val="20"/>
          <w:rtl w:val="0"/>
          <w:lang w:val="en-US"/>
        </w:rPr>
        <w:t>“</w:t>
      </w:r>
      <w:r>
        <w:rPr>
          <w:rFonts w:ascii="Times New Roman" w:hAnsi="Times New Roman"/>
          <w:b w:val="1"/>
          <w:bCs w:val="1"/>
          <w:sz w:val="20"/>
          <w:szCs w:val="20"/>
          <w:rtl w:val="0"/>
          <w:lang w:val="en-US"/>
        </w:rPr>
        <w:t>It has not been proven that the Greek Old Testament (LXX) of the first century contained the Apocrypha</w:t>
      </w:r>
      <w:r>
        <w:rPr>
          <w:rFonts w:ascii="Times New Roman" w:hAnsi="Times New Roman"/>
          <w:sz w:val="20"/>
          <w:szCs w:val="20"/>
          <w:rtl w:val="0"/>
          <w:lang w:val="en-US"/>
        </w:rPr>
        <w:t>.</w:t>
      </w:r>
      <w:r>
        <w:rPr>
          <w:rFonts w:ascii="Times New Roman" w:hAnsi="Times New Roman" w:hint="default"/>
          <w:sz w:val="20"/>
          <w:szCs w:val="20"/>
          <w:rtl w:val="0"/>
          <w:lang w:val="en-US"/>
        </w:rPr>
        <w:t xml:space="preserve">” </w:t>
      </w:r>
      <w:r>
        <w:rPr>
          <w:rFonts w:ascii="Times New Roman" w:hAnsi="Times New Roman"/>
          <w:sz w:val="20"/>
          <w:szCs w:val="20"/>
          <w:rtl w:val="0"/>
          <w:lang w:val="en-US"/>
        </w:rPr>
        <w:t>GIB, p. 170 [bold mine]</w:t>
      </w:r>
    </w:p>
    <w:p>
      <w:pPr>
        <w:pStyle w:val="Default"/>
        <w:tabs>
          <w:tab w:val="left" w:pos="1080"/>
        </w:tabs>
        <w:spacing w:before="0" w:line="240" w:lineRule="auto"/>
        <w:jc w:val="left"/>
        <w:rPr>
          <w:rFonts w:ascii="Times New Roman" w:cs="Times New Roman" w:hAnsi="Times New Roman" w:eastAsia="Times New Roman"/>
          <w:sz w:val="20"/>
          <w:szCs w:val="20"/>
          <w:lang w:val="en-US"/>
        </w:rPr>
      </w:pPr>
    </w:p>
    <w:p>
      <w:pPr>
        <w:pStyle w:val="Default"/>
        <w:spacing w:before="0" w:after="120" w:line="240" w:lineRule="auto"/>
        <w:ind w:left="720" w:firstLine="0"/>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 xml:space="preserve">An interesting note in the Douay version of the Catholic Bible at the end of Daniel: </w:t>
      </w:r>
      <w:r>
        <w:rPr>
          <w:rFonts w:ascii="Times New Roman" w:hAnsi="Times New Roman" w:hint="default"/>
          <w:sz w:val="20"/>
          <w:szCs w:val="20"/>
          <w:rtl w:val="0"/>
          <w:lang w:val="en-US"/>
        </w:rPr>
        <w:t>“</w:t>
      </w:r>
      <w:r>
        <w:rPr>
          <w:rFonts w:ascii="Times New Roman" w:hAnsi="Times New Roman"/>
          <w:sz w:val="20"/>
          <w:szCs w:val="20"/>
          <w:rtl w:val="0"/>
          <w:lang w:val="en-US"/>
        </w:rPr>
        <w:t xml:space="preserve">Chapter 13 and 14, as well as part of </w:t>
      </w:r>
      <w:r>
        <w:rPr>
          <w:rFonts w:ascii="Times New Roman" w:hAnsi="Times New Roman"/>
          <w:sz w:val="20"/>
          <w:szCs w:val="20"/>
          <w:rtl w:val="0"/>
          <w:lang w:val="en-US"/>
        </w:rPr>
        <w:t>ch.</w:t>
      </w:r>
      <w:r>
        <w:rPr>
          <w:rFonts w:ascii="Times New Roman" w:hAnsi="Times New Roman"/>
          <w:sz w:val="20"/>
          <w:szCs w:val="20"/>
          <w:rtl w:val="0"/>
          <w:lang w:val="en-US"/>
        </w:rPr>
        <w:t xml:space="preserve"> 3, embracing the prayer of Azarias (25-45), the rescue by an angel (46-50), and the hymn of the three youths (51-90), </w:t>
      </w:r>
      <w:r>
        <w:rPr>
          <w:rFonts w:ascii="Times New Roman" w:hAnsi="Times New Roman"/>
          <w:b w:val="1"/>
          <w:bCs w:val="1"/>
          <w:sz w:val="20"/>
          <w:szCs w:val="20"/>
          <w:rtl w:val="0"/>
          <w:lang w:val="en-US"/>
        </w:rPr>
        <w:t xml:space="preserve">are </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not in the present Hebrew Bible</w:t>
      </w:r>
      <w:r>
        <w:rPr>
          <w:rFonts w:ascii="Times New Roman" w:hAnsi="Times New Roman"/>
          <w:sz w:val="20"/>
          <w:szCs w:val="20"/>
          <w:rtl w:val="0"/>
          <w:lang w:val="en-US"/>
        </w:rPr>
        <w:t>. But the inspired character of these sections has ever been held in the Catholic Church.</w:t>
      </w:r>
      <w:r>
        <w:rPr>
          <w:rFonts w:ascii="Times New Roman" w:hAnsi="Times New Roman" w:hint="default"/>
          <w:sz w:val="20"/>
          <w:szCs w:val="20"/>
          <w:rtl w:val="0"/>
          <w:lang w:val="en-US"/>
        </w:rPr>
        <w:t>”</w:t>
      </w:r>
      <w:r>
        <w:rPr>
          <w:rFonts w:ascii="Times New Roman" w:hAnsi="Times New Roman"/>
          <w:sz w:val="20"/>
          <w:szCs w:val="20"/>
          <w:rtl w:val="0"/>
          <w:lang w:val="en-US"/>
        </w:rPr>
        <w:t xml:space="preserve"> [boldmine] </w:t>
      </w:r>
    </w:p>
    <w:p>
      <w:pPr>
        <w:pStyle w:val="Default"/>
        <w:spacing w:before="0" w:line="240" w:lineRule="auto"/>
        <w:ind w:left="1080"/>
        <w:jc w:val="left"/>
        <w:rPr>
          <w:rFonts w:ascii="Times New Roman" w:cs="Times New Roman" w:hAnsi="Times New Roman" w:eastAsia="Times New Roman"/>
          <w:sz w:val="20"/>
          <w:szCs w:val="20"/>
          <w:lang w:val="en-US"/>
        </w:rPr>
      </w:pPr>
      <w:r>
        <w:rPr>
          <w:rFonts w:ascii="Times New Roman" w:hAnsi="Times New Roman"/>
          <w:b w:val="1"/>
          <w:bCs w:val="1"/>
          <w:sz w:val="20"/>
          <w:szCs w:val="20"/>
          <w:rtl w:val="0"/>
          <w:lang w:val="en-US"/>
        </w:rPr>
        <w:t>Note the admission these added sections are not in the Hebrew canon</w:t>
      </w:r>
      <w:r>
        <w:rPr>
          <w:rFonts w:ascii="Times New Roman" w:hAnsi="Times New Roman"/>
          <w:sz w:val="20"/>
          <w:szCs w:val="20"/>
          <w:rtl w:val="0"/>
          <w:lang w:val="en-US"/>
        </w:rPr>
        <w:t xml:space="preserve">.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The statement that these have </w:t>
      </w:r>
      <w:r>
        <w:rPr>
          <w:rStyle w:val="green highlight TNR12"/>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ever been held</w:t>
      </w:r>
      <w:r>
        <w:rPr>
          <w:rStyle w:val="green highlight TNR12"/>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as canonical by the Catholic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Church</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does not seem to be true. See the quotes above (p2) {</w:t>
      </w:r>
      <w:r>
        <w:rPr>
          <w:rStyle w:val="Hyperlink.0"/>
          <w:rFonts w:ascii="Times New Roman" w:cs="Times New Roman" w:hAnsi="Times New Roman" w:eastAsia="Times New Roman"/>
          <w:sz w:val="20"/>
          <w:szCs w:val="20"/>
          <w:lang w:val="en-US"/>
        </w:rPr>
        <w:fldChar w:fldCharType="begin" w:fldLock="0"/>
      </w:r>
      <w:r>
        <w:rPr>
          <w:rStyle w:val="Hyperlink.0"/>
          <w:rFonts w:ascii="Times New Roman" w:cs="Times New Roman" w:hAnsi="Times New Roman" w:eastAsia="Times New Roman"/>
          <w:sz w:val="20"/>
          <w:szCs w:val="20"/>
          <w:lang w:val="en-US"/>
        </w:rPr>
        <w:instrText xml:space="preserve"> HYPERLINK \l "bookmark" </w:instrText>
      </w:r>
      <w:r>
        <w:rPr>
          <w:rStyle w:val="Hyperlink.0"/>
          <w:rFonts w:ascii="Times New Roman" w:cs="Times New Roman" w:hAnsi="Times New Roman" w:eastAsia="Times New Roman"/>
          <w:sz w:val="20"/>
          <w:szCs w:val="20"/>
          <w:lang w:val="en-US"/>
        </w:rPr>
        <w:fldChar w:fldCharType="separate" w:fldLock="0"/>
      </w:r>
      <w:r>
        <w:rPr>
          <w:rStyle w:val="Hyperlink.0"/>
          <w:rFonts w:ascii="Times New Roman" w:hAnsi="Times New Roman"/>
          <w:sz w:val="20"/>
          <w:szCs w:val="20"/>
          <w:rtl w:val="0"/>
          <w:lang w:val="en-US"/>
        </w:rPr>
        <w:t>Ximenes</w:t>
      </w:r>
      <w:r>
        <w:rPr>
          <w:rFonts w:ascii="Times New Roman" w:cs="Times New Roman" w:hAnsi="Times New Roman" w:eastAsia="Times New Roman"/>
          <w:sz w:val="20"/>
          <w:szCs w:val="20"/>
          <w:lang w:val="en-US"/>
        </w:rPr>
        <w:fldChar w:fldCharType="end" w:fldLock="0"/>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where Cardinal Ximenes and Cardinal Cajetan rejected them.</w:t>
      </w:r>
    </w:p>
    <w:p>
      <w:pPr>
        <w:pStyle w:val="Default"/>
        <w:spacing w:before="0" w:after="120" w:line="240" w:lineRule="auto"/>
        <w:jc w:val="left"/>
        <w:rPr>
          <w:rFonts w:ascii="Times New Roman" w:cs="Times New Roman" w:hAnsi="Times New Roman" w:eastAsia="Times New Roman"/>
          <w:sz w:val="16"/>
          <w:szCs w:val="16"/>
          <w:lang w:val="en-US"/>
        </w:rPr>
      </w:pPr>
    </w:p>
    <w:p>
      <w:pPr>
        <w:pStyle w:val="Default"/>
        <w:spacing w:before="0" w:after="120" w:line="240" w:lineRule="auto"/>
        <w:ind w:left="720" w:firstLine="0"/>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 xml:space="preserve">“… </w:t>
      </w:r>
      <w:r>
        <w:rPr>
          <w:rFonts w:ascii="Times New Roman" w:hAnsi="Times New Roman"/>
          <w:sz w:val="20"/>
          <w:szCs w:val="20"/>
          <w:rtl w:val="0"/>
          <w:lang w:val="en-US"/>
        </w:rPr>
        <w:t>a</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ll of the Old Testament books are quoted except Ezra, Nehemiah, Esther, Ecclesiastes, and the Song of Solomon.</w:t>
      </w:r>
      <w:r>
        <w:rPr>
          <w:rFonts w:ascii="Times New Roman" w:hAnsi="Times New Roman"/>
          <w:sz w:val="20"/>
          <w:szCs w:val="20"/>
          <w:rtl w:val="0"/>
          <w:lang w:val="en-US"/>
        </w:rPr>
        <w:t xml:space="preserve"> These are doubtless omitted not </w:t>
      </w:r>
      <w:r>
        <w:rPr>
          <w:rFonts w:ascii="Times New Roman" w:hAnsi="Times New Roman"/>
          <w:sz w:val="20"/>
          <w:szCs w:val="20"/>
          <w:rtl w:val="0"/>
          <w:lang w:val="en-US"/>
        </w:rPr>
        <w:t>by</w:t>
      </w:r>
      <w:r>
        <w:rPr>
          <w:rFonts w:ascii="Times New Roman" w:hAnsi="Times New Roman"/>
          <w:sz w:val="20"/>
          <w:szCs w:val="20"/>
          <w:rtl w:val="0"/>
          <w:lang w:val="en-US"/>
        </w:rPr>
        <w:t xml:space="preserve"> design but because they are shorter and there was, because of the nature of their contents, less occasion to quote them.</w:t>
      </w:r>
      <w:r>
        <w:rPr>
          <w:rFonts w:ascii="Times New Roman" w:hAnsi="Times New Roman" w:hint="default"/>
          <w:sz w:val="20"/>
          <w:szCs w:val="20"/>
          <w:rtl w:val="0"/>
          <w:lang w:val="en-US"/>
        </w:rPr>
        <w:t xml:space="preserve">” </w:t>
      </w:r>
      <w:r>
        <w:rPr>
          <w:rFonts w:ascii="Times New Roman" w:hAnsi="Times New Roman"/>
          <w:sz w:val="20"/>
          <w:szCs w:val="20"/>
          <w:rtl w:val="0"/>
          <w:lang w:val="en-US"/>
        </w:rPr>
        <w:t>ICB, p. 183.</w:t>
      </w:r>
    </w:p>
    <w:p>
      <w:pPr>
        <w:pStyle w:val="Default"/>
        <w:spacing w:before="0" w:after="120" w:line="240" w:lineRule="auto"/>
        <w:ind w:left="720" w:firstLine="0"/>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w:t>
      </w:r>
      <w:r>
        <w:rPr>
          <w:rFonts w:ascii="Times New Roman" w:hAnsi="Times New Roman"/>
          <w:sz w:val="20"/>
          <w:szCs w:val="20"/>
          <w:rtl w:val="0"/>
          <w:lang w:val="en-US"/>
        </w:rPr>
        <w:t xml:space="preserve">On the other hand, </w:t>
      </w:r>
      <w:r>
        <w:rPr>
          <w:rFonts w:ascii="Times New Roman" w:hAnsi="Times New Roman"/>
          <w:b w:val="1"/>
          <w:bCs w:val="1"/>
          <w:sz w:val="20"/>
          <w:szCs w:val="20"/>
          <w:rtl w:val="0"/>
          <w:lang w:val="en-US"/>
        </w:rPr>
        <w:t>the seven Apocryphal books and the minor Apocryphal additions are never quoted in any way</w:t>
      </w:r>
      <w:r>
        <w:rPr>
          <w:rFonts w:ascii="Times New Roman" w:hAnsi="Times New Roman"/>
          <w:sz w:val="20"/>
          <w:szCs w:val="20"/>
          <w:rtl w:val="0"/>
          <w:lang w:val="en-US"/>
        </w:rPr>
        <w:t>. Alleged allusions to them are extremely few and doubtful.</w:t>
      </w:r>
      <w:r>
        <w:rPr>
          <w:rFonts w:ascii="Times New Roman" w:hAnsi="Times New Roman" w:hint="default"/>
          <w:sz w:val="20"/>
          <w:szCs w:val="20"/>
          <w:rtl w:val="0"/>
          <w:lang w:val="en-US"/>
        </w:rPr>
        <w:t xml:space="preserve">” </w:t>
      </w:r>
      <w:r>
        <w:rPr>
          <w:rFonts w:ascii="Times New Roman" w:hAnsi="Times New Roman"/>
          <w:sz w:val="20"/>
          <w:szCs w:val="20"/>
          <w:rtl w:val="0"/>
          <w:lang w:val="en-US"/>
        </w:rPr>
        <w:t>ICB, p. 183</w:t>
      </w:r>
      <w:r>
        <w:rPr>
          <w:rFonts w:ascii="Times New Roman" w:hAnsi="Times New Roman"/>
          <w:sz w:val="20"/>
          <w:szCs w:val="20"/>
          <w:rtl w:val="0"/>
          <w:lang w:val="en-US"/>
        </w:rPr>
        <w:t xml:space="preserve"> [boldmine]</w:t>
      </w:r>
    </w:p>
    <w:p>
      <w:pPr>
        <w:pStyle w:val="Default"/>
        <w:spacing w:before="0" w:after="120" w:line="240" w:lineRule="auto"/>
        <w:ind w:left="720" w:firstLine="0"/>
        <w:jc w:val="left"/>
        <w:rPr>
          <w:rFonts w:ascii="Times New Roman" w:cs="Times New Roman" w:hAnsi="Times New Roman" w:eastAsia="Times New Roman"/>
          <w:sz w:val="20"/>
          <w:szCs w:val="20"/>
          <w:lang w:val="en-US"/>
        </w:rPr>
      </w:pPr>
    </w:p>
    <w:p>
      <w:pPr>
        <w:pStyle w:val="Default"/>
        <w:spacing w:before="0" w:after="120" w:line="240" w:lineRule="auto"/>
        <w:ind w:left="720" w:firstLine="0"/>
        <w:jc w:val="left"/>
        <w:rPr>
          <w:rFonts w:ascii="Times New Roman" w:cs="Times New Roman" w:hAnsi="Times New Roman" w:eastAsia="Times New Roman"/>
          <w:sz w:val="20"/>
          <w:szCs w:val="20"/>
          <w:lang w:val="en-US"/>
        </w:rPr>
      </w:pPr>
      <w:r>
        <w:rPr>
          <w:rStyle w:val="green highlight TNR12"/>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In fact, there is </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no claim within the Apocrypha that it is the Word of God</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2"/>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Fonts w:ascii="Times New Roman" w:hAnsi="Times New Roman"/>
          <w:sz w:val="20"/>
          <w:szCs w:val="20"/>
          <w:rtl w:val="0"/>
          <w:lang w:val="en-US"/>
        </w:rPr>
        <w:t xml:space="preserve"> GIB, p. 174.</w:t>
      </w:r>
      <w:r>
        <w:rPr>
          <w:rFonts w:ascii="Times New Roman" w:hAnsi="Times New Roman"/>
          <w:sz w:val="20"/>
          <w:szCs w:val="20"/>
          <w:rtl w:val="0"/>
          <w:lang w:val="en-US"/>
        </w:rPr>
        <w:t xml:space="preserve"> [boldmine] </w:t>
      </w:r>
    </w:p>
    <w:p>
      <w:pPr>
        <w:pStyle w:val="Default"/>
        <w:spacing w:before="0" w:after="120" w:line="240" w:lineRule="auto"/>
        <w:ind w:left="1080"/>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It is sometimes asserted that Ecclesiasticus 50:27-29 lays claim to divine inspiration, but a closer examination of the passage indicates that it is </w:t>
      </w:r>
      <w:r>
        <w:rPr>
          <w:rStyle w:val="green highlight TNR10"/>
          <w:rFonts w:ascii="Times New Roman" w:cs="Arial Unicode MS" w:hAnsi="Times New Roman" w:eastAsia="Arial Unicode MS"/>
          <w:b w:val="0"/>
          <w:bCs w:val="0"/>
          <w:i w:val="1"/>
          <w:iCs w:val="1"/>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illumination</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and not </w:t>
      </w:r>
      <w:r>
        <w:rPr>
          <w:rStyle w:val="green highlight TNR10"/>
          <w:rFonts w:ascii="Times New Roman" w:cs="Arial Unicode MS" w:hAnsi="Times New Roman" w:eastAsia="Arial Unicode MS"/>
          <w:b w:val="0"/>
          <w:bCs w:val="0"/>
          <w:i w:val="1"/>
          <w:iCs w:val="1"/>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inspiration</w:t>
      </w:r>
      <w:r>
        <w:rPr>
          <w:rStyle w:val="green highlight TNR10"/>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that the author claims to have</w:t>
      </w:r>
      <w:r>
        <w:rPr>
          <w:rFonts w:ascii="Times New Roman" w:hAnsi="Times New Roman"/>
          <w:sz w:val="20"/>
          <w:szCs w:val="20"/>
          <w:rtl w:val="0"/>
          <w:lang w:val="en-US"/>
        </w:rPr>
        <w:t>.</w:t>
      </w:r>
      <w:r>
        <w:rPr>
          <w:rFonts w:ascii="Times New Roman" w:hAnsi="Times New Roman" w:hint="default"/>
          <w:sz w:val="20"/>
          <w:szCs w:val="20"/>
          <w:rtl w:val="0"/>
          <w:lang w:val="en-US"/>
        </w:rPr>
        <w:t xml:space="preserve">” </w:t>
      </w:r>
      <w:r>
        <w:rPr>
          <w:rFonts w:ascii="Times New Roman" w:hAnsi="Times New Roman"/>
          <w:sz w:val="20"/>
          <w:szCs w:val="20"/>
          <w:rtl w:val="0"/>
          <w:lang w:val="en-US"/>
        </w:rPr>
        <w:t>p. 174</w:t>
      </w:r>
    </w:p>
    <w:p>
      <w:pPr>
        <w:pStyle w:val="Default"/>
        <w:spacing w:before="0" w:line="240" w:lineRule="auto"/>
        <w:ind w:left="1080"/>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 xml:space="preserve">Ecclesiasticus 50:27-29, </w:t>
      </w:r>
      <w:r>
        <w:rPr>
          <w:rFonts w:ascii="Times New Roman" w:hAnsi="Times New Roman" w:hint="default"/>
          <w:sz w:val="20"/>
          <w:szCs w:val="20"/>
          <w:rtl w:val="0"/>
          <w:lang w:val="en-US"/>
        </w:rPr>
        <w:t>“</w:t>
      </w:r>
      <w:r>
        <w:rPr>
          <w:rFonts w:ascii="Times New Roman" w:hAnsi="Times New Roman"/>
          <w:sz w:val="20"/>
          <w:szCs w:val="20"/>
          <w:rtl w:val="0"/>
          <w:lang w:val="en-US"/>
        </w:rPr>
        <w:t>27 Jesus the son of Sirach of Jerusalem hath written in this book the instruction of understanding and knowledge, who out of his heart poured forth wisdom. 28 Blessed is he that shall be exercised in these things; and he that layeth them up in his heart shall become wise. 29 For if he do them, he shall be strong to all things: for the light of the Lord leadeth him, who giveth wisdom to the godly. Blessed be the name of the Lord for ever. Amen, Amen.</w:t>
      </w:r>
      <w:r>
        <w:rPr>
          <w:rFonts w:ascii="Times New Roman" w:hAnsi="Times New Roman" w:hint="default"/>
          <w:sz w:val="20"/>
          <w:szCs w:val="20"/>
          <w:rtl w:val="0"/>
          <w:lang w:val="en-US"/>
        </w:rPr>
        <w:t>”</w:t>
      </w:r>
    </w:p>
    <w:p>
      <w:pPr>
        <w:pStyle w:val="Default"/>
        <w:spacing w:before="0" w:line="240" w:lineRule="auto"/>
        <w:ind w:left="1440" w:firstLine="0"/>
        <w:jc w:val="left"/>
        <w:rPr>
          <w:rFonts w:ascii="Times New Roman" w:cs="Times New Roman" w:hAnsi="Times New Roman" w:eastAsia="Times New Roman"/>
          <w:sz w:val="20"/>
          <w:szCs w:val="20"/>
          <w:lang w:val="en-US"/>
        </w:rPr>
      </w:pPr>
    </w:p>
    <w:p>
      <w:pPr>
        <w:pStyle w:val="Default"/>
        <w:spacing w:before="0" w:line="240" w:lineRule="auto"/>
        <w:ind w:left="720" w:firstLine="0"/>
        <w:jc w:val="left"/>
        <w:rPr>
          <w:rFonts w:ascii="Times New Roman" w:cs="Times New Roman" w:hAnsi="Times New Roman" w:eastAsia="Times New Roman"/>
          <w:sz w:val="20"/>
          <w:szCs w:val="20"/>
        </w:rPr>
      </w:pPr>
      <w:r>
        <w:rPr>
          <w:rFonts w:ascii="Times New Roman" w:hAnsi="Times New Roman"/>
          <w:sz w:val="20"/>
          <w:szCs w:val="20"/>
          <w:rtl w:val="0"/>
          <w:lang w:val="en-US"/>
        </w:rPr>
        <w:t>1 Macc.</w:t>
      </w:r>
      <w:r>
        <w:rPr>
          <w:rFonts w:ascii="Times New Roman" w:hAnsi="Times New Roman"/>
          <w:sz w:val="20"/>
          <w:szCs w:val="20"/>
          <w:rtl w:val="0"/>
        </w:rPr>
        <w:t xml:space="preserve"> 4:6, </w:t>
      </w:r>
      <w:r>
        <w:rPr>
          <w:rFonts w:ascii="Times New Roman" w:hAnsi="Times New Roman" w:hint="default"/>
          <w:sz w:val="20"/>
          <w:szCs w:val="20"/>
          <w:rtl w:val="0"/>
        </w:rPr>
        <w:t>“…</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until there should come a prophet</w:t>
      </w:r>
      <w:r>
        <w:rPr>
          <w:rFonts w:ascii="Times New Roman" w:hAnsi="Times New Roman"/>
          <w:sz w:val="20"/>
          <w:szCs w:val="20"/>
          <w:rtl w:val="0"/>
          <w:lang w:val="en-US"/>
        </w:rPr>
        <w:t xml:space="preserve"> to </w:t>
      </w:r>
      <w:r>
        <w:rPr>
          <w:rFonts w:ascii="Times New Roman" w:hAnsi="Times New Roman"/>
          <w:sz w:val="20"/>
          <w:szCs w:val="20"/>
          <w:rtl w:val="0"/>
          <w:lang w:val="en-US"/>
        </w:rPr>
        <w:t>show</w:t>
      </w:r>
      <w:r>
        <w:rPr>
          <w:rFonts w:ascii="Times New Roman" w:hAnsi="Times New Roman"/>
          <w:sz w:val="20"/>
          <w:szCs w:val="20"/>
          <w:rtl w:val="0"/>
          <w:lang w:val="en-US"/>
        </w:rPr>
        <w:t xml:space="preserve"> what should be done with them.</w:t>
      </w:r>
      <w:r>
        <w:rPr>
          <w:rFonts w:ascii="Times New Roman" w:hAnsi="Times New Roman" w:hint="default"/>
          <w:sz w:val="20"/>
          <w:szCs w:val="20"/>
          <w:rtl w:val="0"/>
        </w:rPr>
        <w:t>”</w:t>
      </w:r>
      <w:r>
        <w:rPr>
          <w:rFonts w:ascii="Times New Roman" w:hAnsi="Times New Roman"/>
          <w:sz w:val="20"/>
          <w:szCs w:val="20"/>
          <w:rtl w:val="0"/>
        </w:rPr>
        <w:t xml:space="preserve">; 9:27, </w:t>
      </w:r>
      <w:r>
        <w:rPr>
          <w:rFonts w:ascii="Times New Roman" w:hAnsi="Times New Roman" w:hint="default"/>
          <w:sz w:val="20"/>
          <w:szCs w:val="20"/>
          <w:rtl w:val="1"/>
          <w:lang w:val="ar-SA" w:bidi="ar-SA"/>
        </w:rPr>
        <w:t>“</w:t>
      </w:r>
      <w:r>
        <w:rPr>
          <w:rFonts w:ascii="Times New Roman" w:hAnsi="Times New Roman"/>
          <w:sz w:val="20"/>
          <w:szCs w:val="20"/>
          <w:rtl w:val="0"/>
          <w:lang w:val="en-US"/>
        </w:rPr>
        <w:t xml:space="preserve">So was there a great affliction in Israel, the like whereof was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not since the time that a prophet was not seen among them.</w:t>
      </w:r>
      <w:r>
        <w:rPr>
          <w:rStyle w:val="green highlight TNR12"/>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14:41,</w:t>
      </w:r>
      <w:r>
        <w:rPr>
          <w:rStyle w:val="green highlight TNR12"/>
          <w:rFonts w:ascii="Times New Roman" w:cs="Arial Unicode MS" w:hAnsi="Times New Roman" w:eastAsia="Arial Unicode MS" w:hint="default"/>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until there should arise a faithful prophet</w:t>
      </w:r>
      <w:r>
        <w:rPr>
          <w:rFonts w:ascii="Times New Roman" w:hAnsi="Times New Roman" w:hint="default"/>
          <w:sz w:val="20"/>
          <w:szCs w:val="20"/>
          <w:rtl w:val="0"/>
        </w:rPr>
        <w:t>”</w:t>
      </w:r>
    </w:p>
    <w:p>
      <w:pPr>
        <w:pStyle w:val="Default"/>
        <w:spacing w:before="0" w:line="240" w:lineRule="auto"/>
        <w:ind w:left="720" w:firstLine="0"/>
        <w:jc w:val="left"/>
        <w:rPr>
          <w:rFonts w:ascii="Times New Roman" w:cs="Times New Roman" w:hAnsi="Times New Roman" w:eastAsia="Times New Roman"/>
          <w:sz w:val="20"/>
          <w:szCs w:val="20"/>
          <w:lang w:val="en-US"/>
        </w:rPr>
      </w:pPr>
    </w:p>
    <w:p>
      <w:pPr>
        <w:pStyle w:val="Default"/>
        <w:spacing w:before="0" w:line="240" w:lineRule="auto"/>
        <w:ind w:left="720" w:firstLine="0"/>
        <w:jc w:val="left"/>
        <w:rPr>
          <w:rFonts w:ascii="Times New Roman" w:cs="Times New Roman" w:hAnsi="Times New Roman" w:eastAsia="Times New Roman"/>
          <w:sz w:val="20"/>
          <w:szCs w:val="20"/>
          <w:lang w:val="en-US"/>
        </w:rPr>
      </w:pP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Josephus</w:t>
      </w:r>
      <w:r>
        <w:rPr>
          <w:rFonts w:ascii="Times New Roman" w:hAnsi="Times New Roman"/>
          <w:sz w:val="20"/>
          <w:szCs w:val="20"/>
          <w:rtl w:val="0"/>
          <w:lang w:val="en-US"/>
        </w:rPr>
        <w:t xml:space="preserve">: </w:t>
      </w:r>
      <w:r>
        <w:rPr>
          <w:rFonts w:ascii="Times New Roman" w:hAnsi="Times New Roman" w:hint="default"/>
          <w:sz w:val="20"/>
          <w:szCs w:val="20"/>
          <w:rtl w:val="0"/>
          <w:lang w:val="en-US"/>
        </w:rPr>
        <w:t>“</w:t>
      </w:r>
      <w:r>
        <w:rPr>
          <w:rFonts w:ascii="Times New Roman" w:hAnsi="Times New Roman"/>
          <w:sz w:val="20"/>
          <w:szCs w:val="20"/>
          <w:rtl w:val="0"/>
          <w:lang w:val="en-US"/>
        </w:rPr>
        <w:t xml:space="preserve">It is true our history hath been written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since Artaxerxes</w:t>
      </w:r>
      <w:r>
        <w:rPr>
          <w:rFonts w:ascii="Times New Roman" w:hAnsi="Times New Roman"/>
          <w:sz w:val="20"/>
          <w:szCs w:val="20"/>
          <w:rtl w:val="0"/>
          <w:lang w:val="en-US"/>
        </w:rPr>
        <w:t xml:space="preserve">, very particularly but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hath not been esteemed of the like authority with the former by our forefathers, because there hath not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been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an exact succession of the prophets since that time</w:t>
      </w:r>
      <w:r>
        <w:rPr>
          <w:rFonts w:ascii="Times New Roman" w:hAnsi="Times New Roman"/>
          <w:sz w:val="20"/>
          <w:szCs w:val="20"/>
          <w:rtl w:val="0"/>
          <w:lang w:val="en-US"/>
        </w:rPr>
        <w:t>.</w:t>
      </w:r>
      <w:r>
        <w:rPr>
          <w:rFonts w:ascii="Times New Roman" w:hAnsi="Times New Roman" w:hint="default"/>
          <w:sz w:val="20"/>
          <w:szCs w:val="20"/>
          <w:rtl w:val="0"/>
          <w:lang w:val="en-US"/>
        </w:rPr>
        <w:t xml:space="preserve">” </w:t>
      </w:r>
      <w:r>
        <w:rPr>
          <w:rFonts w:ascii="Times New Roman" w:hAnsi="Times New Roman"/>
          <w:sz w:val="20"/>
          <w:szCs w:val="20"/>
          <w:rtl w:val="0"/>
          <w:lang w:val="en-US"/>
        </w:rPr>
        <w:t>(</w:t>
      </w:r>
      <w:r>
        <w:rPr>
          <w:rFonts w:ascii="Times New Roman" w:hAnsi="Times New Roman"/>
          <w:i w:val="1"/>
          <w:iCs w:val="1"/>
          <w:sz w:val="20"/>
          <w:szCs w:val="20"/>
          <w:rtl w:val="0"/>
          <w:lang w:val="en-US"/>
        </w:rPr>
        <w:t>Against Apion</w:t>
      </w:r>
      <w:r>
        <w:rPr>
          <w:rFonts w:ascii="Times New Roman" w:hAnsi="Times New Roman"/>
          <w:sz w:val="20"/>
          <w:szCs w:val="20"/>
          <w:rtl w:val="0"/>
          <w:lang w:val="en-US"/>
        </w:rPr>
        <w:t>, 1:8). GIB, p. 174.</w:t>
      </w:r>
    </w:p>
    <w:p>
      <w:pPr>
        <w:pStyle w:val="Default"/>
        <w:spacing w:before="0" w:line="240" w:lineRule="auto"/>
        <w:ind w:left="720" w:firstLine="0"/>
        <w:jc w:val="left"/>
        <w:rPr>
          <w:rFonts w:ascii="Times New Roman" w:cs="Times New Roman" w:hAnsi="Times New Roman" w:eastAsia="Times New Roman"/>
          <w:sz w:val="20"/>
          <w:szCs w:val="20"/>
          <w:lang w:val="en-US"/>
        </w:rPr>
      </w:pPr>
    </w:p>
    <w:p>
      <w:pPr>
        <w:pStyle w:val="Default"/>
        <w:spacing w:before="0" w:after="120" w:line="240" w:lineRule="auto"/>
        <w:ind w:left="720" w:firstLine="0"/>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w:t>
      </w:r>
      <w:r>
        <w:rPr>
          <w:rFonts w:ascii="Times New Roman" w:hAnsi="Times New Roman"/>
          <w:sz w:val="20"/>
          <w:szCs w:val="20"/>
          <w:rtl w:val="0"/>
          <w:lang w:val="en-US"/>
        </w:rPr>
        <w:t xml:space="preserve">The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Talmud</w:t>
      </w:r>
      <w:r>
        <w:rPr>
          <w:rFonts w:ascii="Times New Roman" w:hAnsi="Times New Roman"/>
          <w:sz w:val="20"/>
          <w:szCs w:val="20"/>
          <w:rtl w:val="0"/>
          <w:lang w:val="en-US"/>
        </w:rPr>
        <w:t xml:space="preserve"> adds a similar thought, as it records, </w:t>
      </w:r>
      <w:r>
        <w:rPr>
          <w:rFonts w:ascii="Times New Roman" w:hAnsi="Times New Roman" w:hint="default"/>
          <w:sz w:val="20"/>
          <w:szCs w:val="20"/>
          <w:rtl w:val="0"/>
          <w:lang w:val="en-US"/>
        </w:rPr>
        <w:t>‘</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After the latter prophets Haggai, Zechariah, . . . and Malachi, the Holy Spirit departed from Israel</w:t>
      </w:r>
      <w:r>
        <w:rPr>
          <w:rFonts w:ascii="Times New Roman" w:hAnsi="Times New Roman"/>
          <w:sz w:val="20"/>
          <w:szCs w:val="20"/>
          <w:rtl w:val="0"/>
          <w:lang w:val="en-US"/>
        </w:rPr>
        <w:t>.</w:t>
      </w:r>
      <w:r>
        <w:rPr>
          <w:rFonts w:ascii="Times New Roman" w:hAnsi="Times New Roman" w:hint="default"/>
          <w:sz w:val="20"/>
          <w:szCs w:val="20"/>
          <w:rtl w:val="0"/>
          <w:lang w:val="en-US"/>
        </w:rPr>
        <w:t xml:space="preserve">’” </w:t>
      </w:r>
      <w:r>
        <w:rPr>
          <w:rFonts w:ascii="Times New Roman" w:hAnsi="Times New Roman"/>
          <w:sz w:val="20"/>
          <w:szCs w:val="20"/>
          <w:rtl w:val="0"/>
          <w:lang w:val="en-US"/>
        </w:rPr>
        <w:t>GIB, p. 174.</w:t>
      </w:r>
    </w:p>
    <w:p>
      <w:pPr>
        <w:pStyle w:val="Default"/>
        <w:spacing w:before="0" w:line="240" w:lineRule="auto"/>
        <w:ind w:left="720" w:firstLine="0"/>
        <w:jc w:val="left"/>
        <w:rPr>
          <w:rFonts w:ascii="Times New Roman" w:cs="Times New Roman" w:hAnsi="Times New Roman" w:eastAsia="Times New Roman"/>
          <w:sz w:val="20"/>
          <w:szCs w:val="20"/>
          <w:lang w:val="en-US"/>
        </w:rPr>
      </w:pP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 . . the </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Dead Sea Manual of Discipline</w:t>
      </w:r>
      <w:r>
        <w:rPr>
          <w:rFonts w:ascii="Times New Roman" w:hAnsi="Times New Roman"/>
          <w:sz w:val="20"/>
          <w:szCs w:val="20"/>
          <w:rtl w:val="0"/>
          <w:lang w:val="en-US"/>
        </w:rPr>
        <w:t xml:space="preserve"> . . . looks forward to the time of the </w:t>
      </w:r>
      <w:r>
        <w:rPr>
          <w:rFonts w:ascii="Times New Roman" w:hAnsi="Times New Roman" w:hint="default"/>
          <w:sz w:val="20"/>
          <w:szCs w:val="20"/>
          <w:rtl w:val="0"/>
          <w:lang w:val="en-US"/>
        </w:rPr>
        <w:t>‘</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coming of a Prophet</w:t>
      </w:r>
      <w:r>
        <w:rPr>
          <w:rFonts w:ascii="Times New Roman" w:hAnsi="Times New Roman"/>
          <w:sz w:val="20"/>
          <w:szCs w:val="20"/>
          <w:rtl w:val="0"/>
          <w:lang w:val="en-US"/>
        </w:rPr>
        <w:t xml:space="preserve"> and the anointed ones of Aaron and Israel.</w:t>
      </w:r>
      <w:r>
        <w:rPr>
          <w:rFonts w:ascii="Times New Roman" w:hAnsi="Times New Roman" w:hint="default"/>
          <w:sz w:val="20"/>
          <w:szCs w:val="20"/>
          <w:rtl w:val="0"/>
          <w:lang w:val="en-US"/>
        </w:rPr>
        <w:t xml:space="preserve">’ </w:t>
      </w:r>
      <w:r>
        <w:rPr>
          <w:rFonts w:ascii="Times New Roman" w:hAnsi="Times New Roman"/>
          <w:sz w:val="20"/>
          <w:szCs w:val="20"/>
          <w:rtl w:val="0"/>
          <w:lang w:val="en-US"/>
        </w:rPr>
        <w:t>In the meantime, the Torah and the previously mentioned words of the prophets and the rule of the community shall obtain.</w:t>
      </w:r>
      <w:r>
        <w:rPr>
          <w:rFonts w:ascii="Times New Roman" w:hAnsi="Times New Roman" w:hint="default"/>
          <w:sz w:val="20"/>
          <w:szCs w:val="20"/>
          <w:rtl w:val="0"/>
          <w:lang w:val="en-US"/>
        </w:rPr>
        <w:t xml:space="preserve">” </w:t>
      </w:r>
      <w:r>
        <w:rPr>
          <w:rFonts w:ascii="Times New Roman" w:hAnsi="Times New Roman"/>
          <w:sz w:val="20"/>
          <w:szCs w:val="20"/>
          <w:rtl w:val="0"/>
          <w:lang w:val="en-US"/>
        </w:rPr>
        <w:t>ICB, p. 169.</w:t>
      </w:r>
    </w:p>
    <w:p>
      <w:pPr>
        <w:pStyle w:val="Default"/>
        <w:suppressAutoHyphens w:val="1"/>
        <w:spacing w:before="0" w:line="240" w:lineRule="auto"/>
        <w:jc w:val="left"/>
        <w:rPr>
          <w:rFonts w:ascii="Times New Roman" w:cs="Times New Roman" w:hAnsi="Times New Roman" w:eastAsia="Times New Roman"/>
        </w:rPr>
      </w:pPr>
    </w:p>
    <w:p>
      <w:pPr>
        <w:pStyle w:val="Default"/>
        <w:numPr>
          <w:ilvl w:val="1"/>
          <w:numId w:val="7"/>
        </w:numPr>
        <w:suppressAutoHyphens w:val="1"/>
        <w:spacing w:before="0" w:line="240" w:lineRule="auto"/>
        <w:jc w:val="left"/>
        <w:rPr>
          <w:rFonts w:ascii="Times New Roman" w:hAnsi="Times New Roman"/>
          <w:lang w:val="en-US"/>
        </w:rPr>
      </w:pPr>
      <w:r>
        <w:rPr>
          <w:rFonts w:ascii="Times New Roman" w:hAnsi="Times New Roman"/>
          <w:rtl w:val="0"/>
          <w:lang w:val="en-US"/>
        </w:rPr>
        <w:t>They contain errors. Some contain historical, chronological</w:t>
      </w:r>
      <w:r>
        <w:rPr>
          <w:rFonts w:ascii="Times New Roman" w:hAnsi="Times New Roman"/>
          <w:rtl w:val="0"/>
          <w:lang w:val="en-US"/>
        </w:rPr>
        <w:t>,</w:t>
      </w:r>
      <w:r>
        <w:rPr>
          <w:rFonts w:ascii="Times New Roman" w:hAnsi="Times New Roman"/>
          <w:rtl w:val="0"/>
          <w:lang w:val="en-US"/>
        </w:rPr>
        <w:t xml:space="preserve"> and geographical errors. Some contain clearly doctrinal errors. Some are clearly fictitious</w:t>
      </w:r>
      <w:r>
        <w:rPr>
          <w:rFonts w:ascii="Times New Roman" w:hAnsi="Times New Roman"/>
          <w:rtl w:val="0"/>
          <w:lang w:val="en-US"/>
        </w:rPr>
        <w:t>.</w:t>
      </w:r>
    </w:p>
    <w:p>
      <w:pPr>
        <w:pStyle w:val="Default"/>
        <w:spacing w:before="0" w:after="120" w:line="240" w:lineRule="auto"/>
        <w:jc w:val="left"/>
        <w:rPr>
          <w:rFonts w:ascii="Times New Roman" w:cs="Times New Roman" w:hAnsi="Times New Roman" w:eastAsia="Times New Roman"/>
          <w:sz w:val="12"/>
          <w:szCs w:val="12"/>
          <w:lang w:val="en-US"/>
        </w:rPr>
      </w:pPr>
    </w:p>
    <w:p>
      <w:pPr>
        <w:pStyle w:val="Default"/>
        <w:spacing w:before="0" w:line="240" w:lineRule="auto"/>
        <w:ind w:left="720"/>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 xml:space="preserve">2 Macc. 12:44,45, </w:t>
      </w:r>
      <w:r>
        <w:rPr>
          <w:rFonts w:ascii="Times New Roman" w:hAnsi="Times New Roman" w:hint="default"/>
          <w:sz w:val="20"/>
          <w:szCs w:val="20"/>
          <w:rtl w:val="0"/>
          <w:lang w:val="en-US"/>
        </w:rPr>
        <w:t>“</w:t>
      </w:r>
      <w:r>
        <w:rPr>
          <w:rFonts w:ascii="Times New Roman" w:hAnsi="Times New Roman"/>
          <w:sz w:val="20"/>
          <w:szCs w:val="20"/>
          <w:rtl w:val="0"/>
          <w:lang w:val="en-US"/>
        </w:rPr>
        <w:t xml:space="preserve">44 For if he had not hoped that they that were slain should have risen again, it had been superfluous and vain to </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pray for the </w:t>
      </w:r>
      <w:r>
        <w:rPr>
          <w:rStyle w:val="green highlight"/>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dead</w:t>
      </w:r>
      <w:r>
        <w:rPr>
          <w:rFonts w:ascii="Times New Roman" w:hAnsi="Times New Roman"/>
          <w:sz w:val="20"/>
          <w:szCs w:val="20"/>
          <w:rtl w:val="0"/>
          <w:lang w:val="en-US"/>
        </w:rPr>
        <w:t xml:space="preserve">. 45 And also in that he perceived that there was great favour laid up for those that died godly, it was </w:t>
      </w:r>
      <w:r>
        <w:rPr>
          <w:rFonts w:ascii="Times New Roman" w:hAnsi="Times New Roman"/>
          <w:sz w:val="20"/>
          <w:szCs w:val="20"/>
          <w:rtl w:val="0"/>
          <w:lang w:val="en-US"/>
        </w:rPr>
        <w:t>a</w:t>
      </w:r>
      <w:r>
        <w:rPr>
          <w:rFonts w:ascii="Times New Roman" w:hAnsi="Times New Roman"/>
          <w:sz w:val="20"/>
          <w:szCs w:val="20"/>
          <w:rtl w:val="0"/>
          <w:lang w:val="en-US"/>
        </w:rPr>
        <w:t xml:space="preserve"> holy and good thought. Whereupon he </w:t>
      </w:r>
      <w:r>
        <w:rPr>
          <w:rStyle w:val="green highlight"/>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made a reconciliation for the dead, that they might be delivered from sin</w:t>
      </w:r>
      <w:r>
        <w:rPr>
          <w:rFonts w:ascii="Times New Roman" w:hAnsi="Times New Roman"/>
          <w:sz w:val="20"/>
          <w:szCs w:val="20"/>
          <w:rtl w:val="0"/>
          <w:lang w:val="en-US"/>
        </w:rPr>
        <w:t>.</w:t>
      </w:r>
      <w:r>
        <w:rPr>
          <w:rFonts w:ascii="Times New Roman" w:hAnsi="Times New Roman" w:hint="default"/>
          <w:sz w:val="20"/>
          <w:szCs w:val="20"/>
          <w:rtl w:val="0"/>
          <w:lang w:val="en-US"/>
        </w:rPr>
        <w:t>”</w:t>
      </w:r>
    </w:p>
    <w:p>
      <w:pPr>
        <w:pStyle w:val="Default"/>
        <w:spacing w:before="0" w:line="240" w:lineRule="auto"/>
        <w:ind w:left="720" w:firstLine="0"/>
        <w:jc w:val="left"/>
        <w:rPr>
          <w:rFonts w:ascii="Times New Roman" w:cs="Times New Roman" w:hAnsi="Times New Roman" w:eastAsia="Times New Roman"/>
          <w:sz w:val="20"/>
          <w:szCs w:val="20"/>
          <w:lang w:val="en-US"/>
        </w:rPr>
      </w:pPr>
    </w:p>
    <w:p>
      <w:pPr>
        <w:pStyle w:val="Default"/>
        <w:spacing w:before="0" w:line="240" w:lineRule="auto"/>
        <w:ind w:left="720"/>
        <w:jc w:val="left"/>
        <w:rPr>
          <w:rFonts w:ascii="Times New Roman" w:cs="Times New Roman" w:hAnsi="Times New Roman" w:eastAsia="Times New Roman"/>
          <w:sz w:val="24"/>
          <w:szCs w:val="24"/>
          <w:lang w:val="en-US"/>
        </w:rPr>
      </w:pPr>
      <w:r>
        <w:rPr>
          <w:rFonts w:ascii="Times New Roman" w:hAnsi="Times New Roman" w:hint="default"/>
          <w:sz w:val="20"/>
          <w:szCs w:val="20"/>
          <w:rtl w:val="0"/>
          <w:lang w:val="en-US"/>
        </w:rPr>
        <w:t>“</w:t>
      </w:r>
      <w:r>
        <w:rPr>
          <w:rFonts w:ascii="Times New Roman" w:hAnsi="Times New Roman"/>
          <w:sz w:val="20"/>
          <w:szCs w:val="20"/>
          <w:rtl w:val="0"/>
          <w:lang w:val="en-US"/>
        </w:rPr>
        <w:t xml:space="preserve">It is </w:t>
      </w:r>
      <w:r>
        <w:rPr>
          <w:rStyle w:val="green highlight"/>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claimed that Tobit was alive when the Assyrians conquered Israel (722 b.c.) as well as when Jeroboam revolted against Judah (931 b.c.), yet his total life-span was only 158 year</w:t>
      </w:r>
      <w:r>
        <w:rPr>
          <w:rStyle w:val="green highlight TNR12"/>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s</w:t>
      </w:r>
      <w:r>
        <w:rPr>
          <w:rStyle w:val="green highlight TNR12"/>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 xml:space="preserve"> </w:t>
      </w:r>
      <w:r>
        <w:rPr>
          <w:rFonts w:ascii="Times New Roman" w:hAnsi="Times New Roman"/>
          <w:sz w:val="20"/>
          <w:szCs w:val="20"/>
          <w:rtl w:val="0"/>
          <w:lang w:val="en-US"/>
        </w:rPr>
        <w:t xml:space="preserve">(14:11; cf. 1:3-5). </w:t>
      </w:r>
      <w:r>
        <w:rPr>
          <w:rFonts w:ascii="Times New Roman" w:hAnsi="Times New Roman"/>
          <w:b w:val="1"/>
          <w:bCs w:val="1"/>
          <w:sz w:val="20"/>
          <w:szCs w:val="20"/>
          <w:rtl w:val="0"/>
          <w:lang w:val="en-US"/>
        </w:rPr>
        <w:t xml:space="preserve">Judith speaks of </w:t>
      </w:r>
      <w:r>
        <w:rPr>
          <w:rStyle w:val="green highlight"/>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Nebuchadnezzar as reigning in Nineveh instead of Babylon</w:t>
      </w:r>
      <w:r>
        <w:rPr>
          <w:rFonts w:ascii="Times New Roman" w:hAnsi="Times New Roman"/>
          <w:sz w:val="20"/>
          <w:szCs w:val="20"/>
          <w:rtl w:val="0"/>
          <w:lang w:val="en-US"/>
        </w:rPr>
        <w:t xml:space="preserve"> (1:0. William H. Green concisely summarizes this evidence, as he writes, </w:t>
      </w:r>
      <w:r>
        <w:rPr>
          <w:rFonts w:ascii="Times New Roman" w:hAnsi="Times New Roman" w:hint="default"/>
          <w:sz w:val="20"/>
          <w:szCs w:val="20"/>
          <w:rtl w:val="0"/>
          <w:lang w:val="en-US"/>
        </w:rPr>
        <w:t>‘</w:t>
      </w:r>
      <w:r>
        <w:rPr>
          <w:rFonts w:ascii="Times New Roman" w:hAnsi="Times New Roman"/>
          <w:sz w:val="20"/>
          <w:szCs w:val="20"/>
          <w:rtl w:val="0"/>
          <w:lang w:val="en-US"/>
        </w:rPr>
        <w:t xml:space="preserve">The book of </w:t>
      </w:r>
      <w:r>
        <w:rPr>
          <w:rStyle w:val="green highlight"/>
          <w:rFonts w:ascii="Times New Roman" w:cs="Arial Unicode MS" w:hAnsi="Times New Roman" w:eastAsia="Arial Unicode MS"/>
          <w:b w:val="1"/>
          <w:bCs w:val="1"/>
          <w:i w:val="0"/>
          <w:iCs w:val="0"/>
          <w:caps w:val="0"/>
          <w:smallCaps w:val="0"/>
          <w:strike w:val="0"/>
          <w:dstrike w:val="0"/>
          <w:outline w:val="0"/>
          <w:color w:val="000000"/>
          <w:spacing w:val="0"/>
          <w:position w:val="0"/>
          <w:sz w:val="20"/>
          <w:szCs w:val="20"/>
          <w:u w:val="none"/>
          <w:shd w:val="nil" w:color="auto" w:fill="auto"/>
          <w:vertAlign w:val="baseline"/>
          <w:rtl w:val="0"/>
          <w:lang w:val="en-US"/>
          <w14:textFill>
            <w14:solidFill>
              <w14:srgbClr w14:val="000000"/>
            </w14:solidFill>
          </w14:textFill>
        </w:rPr>
        <w:t>Tobit and Judith abound in geological, chronological, and historical mistakes</w:t>
      </w:r>
      <w:r>
        <w:rPr>
          <w:rFonts w:ascii="Times New Roman" w:hAnsi="Times New Roman"/>
          <w:sz w:val="20"/>
          <w:szCs w:val="20"/>
          <w:rtl w:val="0"/>
          <w:lang w:val="en-US"/>
        </w:rPr>
        <w:t>, so as not only to vitiate the truth of the narratives which they contain, but to make it doubtful whether they even rest upon a basis of fact.</w:t>
      </w:r>
      <w:r>
        <w:rPr>
          <w:rFonts w:ascii="Times New Roman" w:hAnsi="Times New Roman" w:hint="default"/>
          <w:sz w:val="20"/>
          <w:szCs w:val="20"/>
          <w:rtl w:val="0"/>
          <w:lang w:val="en-US"/>
        </w:rPr>
        <w:t xml:space="preserve">’” </w:t>
      </w:r>
      <w:r>
        <w:rPr>
          <w:rFonts w:ascii="Times New Roman" w:hAnsi="Times New Roman"/>
          <w:sz w:val="20"/>
          <w:szCs w:val="20"/>
          <w:rtl w:val="0"/>
          <w:lang w:val="en-US"/>
        </w:rPr>
        <w:t>GIB, p. 174.</w:t>
      </w:r>
      <w:r>
        <w:rPr>
          <w:rFonts w:ascii="Times New Roman" w:hAnsi="Times New Roman"/>
          <w:sz w:val="20"/>
          <w:szCs w:val="20"/>
          <w:rtl w:val="0"/>
          <w:lang w:val="en-US"/>
        </w:rPr>
        <w:t xml:space="preserve"> [bold mine] </w:t>
      </w:r>
    </w:p>
    <w:p>
      <w:pPr>
        <w:pStyle w:val="Default"/>
        <w:spacing w:before="0" w:line="240" w:lineRule="auto"/>
        <w:ind w:left="720"/>
        <w:jc w:val="left"/>
        <w:rPr>
          <w:rFonts w:ascii="Times New Roman" w:cs="Times New Roman" w:hAnsi="Times New Roman" w:eastAsia="Times New Roman"/>
          <w:sz w:val="20"/>
          <w:szCs w:val="20"/>
          <w:lang w:val="en-US"/>
        </w:rPr>
      </w:pPr>
    </w:p>
    <w:p>
      <w:pPr>
        <w:pStyle w:val="Default"/>
        <w:spacing w:before="0" w:line="240" w:lineRule="auto"/>
        <w:ind w:left="1080"/>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 xml:space="preserve">The Catholic Encyclopedia acknowledges the error about Nebuchanezzar reigning in Nineveh (and other inaccuracies), but attributes it to </w:t>
      </w:r>
      <w:r>
        <w:rPr>
          <w:rFonts w:ascii="Times New Roman" w:hAnsi="Times New Roman" w:hint="default"/>
          <w:sz w:val="20"/>
          <w:szCs w:val="20"/>
          <w:rtl w:val="0"/>
          <w:lang w:val="en-US"/>
        </w:rPr>
        <w:t>“</w:t>
      </w:r>
      <w:r>
        <w:rPr>
          <w:rFonts w:ascii="Times New Roman" w:hAnsi="Times New Roman"/>
          <w:sz w:val="20"/>
          <w:szCs w:val="20"/>
          <w:rtl w:val="0"/>
          <w:lang w:val="en-US"/>
        </w:rPr>
        <w:t>careless translators and inaccurate copyists [wording in my bound volume].</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See also </w:t>
      </w:r>
      <w:r>
        <w:rPr>
          <w:rFonts w:ascii="Times New Roman" w:cs="Times New Roman" w:hAnsi="Times New Roman" w:eastAsia="Times New Roman"/>
          <w:sz w:val="20"/>
          <w:szCs w:val="20"/>
          <w:lang w:val="en-US"/>
        </w:rPr>
        <w:fldChar w:fldCharType="begin" w:fldLock="0"/>
      </w:r>
      <w:r>
        <w:rPr>
          <w:rFonts w:ascii="Times New Roman" w:cs="Times New Roman" w:hAnsi="Times New Roman" w:eastAsia="Times New Roman"/>
          <w:sz w:val="20"/>
          <w:szCs w:val="20"/>
          <w:lang w:val="en-US"/>
        </w:rPr>
        <w:instrText xml:space="preserve"> HYPERLINK "http://www.newadvent.org/cathen/08554a.htm"</w:instrText>
      </w:r>
      <w:r>
        <w:rPr>
          <w:rFonts w:ascii="Times New Roman" w:cs="Times New Roman" w:hAnsi="Times New Roman" w:eastAsia="Times New Roman"/>
          <w:sz w:val="20"/>
          <w:szCs w:val="20"/>
          <w:lang w:val="en-US"/>
        </w:rPr>
        <w:fldChar w:fldCharType="separate" w:fldLock="0"/>
      </w:r>
      <w:r>
        <w:rPr>
          <w:rFonts w:ascii="Times New Roman" w:hAnsi="Times New Roman"/>
          <w:sz w:val="20"/>
          <w:szCs w:val="20"/>
          <w:rtl w:val="0"/>
          <w:lang w:val="en-US"/>
        </w:rPr>
        <w:t>http://www.newadvent.org/cathen/08554a.htm</w:t>
      </w:r>
      <w:r>
        <w:rPr>
          <w:rFonts w:ascii="Times New Roman" w:cs="Times New Roman" w:hAnsi="Times New Roman" w:eastAsia="Times New Roman"/>
          <w:sz w:val="20"/>
          <w:szCs w:val="20"/>
          <w:lang w:val="en-US"/>
        </w:rPr>
        <w:fldChar w:fldCharType="end" w:fldLock="0"/>
      </w:r>
      <w:r>
        <w:rPr>
          <w:rFonts w:ascii="Times New Roman" w:hAnsi="Times New Roman"/>
          <w:sz w:val="20"/>
          <w:szCs w:val="20"/>
          <w:rtl w:val="0"/>
          <w:lang w:val="en-US"/>
        </w:rPr>
        <w:t xml:space="preserve"> Same at other sites.</w:t>
      </w:r>
    </w:p>
    <w:p>
      <w:pPr>
        <w:pStyle w:val="Default"/>
        <w:spacing w:before="0" w:line="240" w:lineRule="auto"/>
        <w:ind w:left="720"/>
        <w:jc w:val="left"/>
        <w:rPr>
          <w:rFonts w:ascii="Times New Roman" w:cs="Times New Roman" w:hAnsi="Times New Roman" w:eastAsia="Times New Roman"/>
          <w:sz w:val="20"/>
          <w:szCs w:val="20"/>
          <w:lang w:val="en-US"/>
        </w:rPr>
      </w:pPr>
    </w:p>
    <w:p>
      <w:pPr>
        <w:pStyle w:val="Default"/>
        <w:spacing w:before="0" w:line="240" w:lineRule="auto"/>
        <w:ind w:left="720"/>
        <w:jc w:val="left"/>
        <w:rPr>
          <w:rFonts w:ascii="Times New Roman" w:cs="Times New Roman" w:hAnsi="Times New Roman" w:eastAsia="Times New Roman"/>
          <w:sz w:val="24"/>
          <w:szCs w:val="24"/>
          <w:lang w:val="en-US"/>
        </w:rPr>
      </w:pPr>
      <w:r>
        <w:rPr>
          <w:rFonts w:ascii="Times New Roman" w:hAnsi="Times New Roman" w:hint="default"/>
          <w:sz w:val="20"/>
          <w:szCs w:val="20"/>
          <w:rtl w:val="0"/>
          <w:lang w:val="en-US"/>
        </w:rPr>
        <w:t>“</w:t>
      </w:r>
      <w:r>
        <w:rPr>
          <w:rFonts w:ascii="Times New Roman" w:hAnsi="Times New Roman"/>
          <w:sz w:val="20"/>
          <w:szCs w:val="20"/>
          <w:rtl w:val="0"/>
          <w:lang w:val="en-US"/>
        </w:rPr>
        <w:t>7. The loss of the simplicity and accuracy which characterize the history of the Old Testament is shown also in the errors and anachronisms in which these books abound. Thus, to take a few of the most striking instances, Haman is made a Macedonian, and the purpose of his plot is to transfer the kingdom from the Persians to the Macedonians (Esther 16:10); two contradictory statements are given in the same book of the death of Antiochus Epiphanes (2 Maccabees 1:15-17; 9:5-29); Nabuchodonosor is made to dwell at Nineveh as the king of the Assyrians (Judith 1:1).</w:t>
      </w:r>
      <w:r>
        <w:rPr>
          <w:rFonts w:ascii="Times New Roman" w:hAnsi="Times New Roman" w:hint="default"/>
          <w:sz w:val="20"/>
          <w:szCs w:val="20"/>
          <w:rtl w:val="0"/>
          <w:lang w:val="en-US"/>
        </w:rPr>
        <w:t xml:space="preserve">” </w:t>
      </w:r>
      <w:r>
        <w:rPr>
          <w:rFonts w:ascii="Times New Roman" w:hAnsi="Times New Roman"/>
          <w:sz w:val="20"/>
          <w:szCs w:val="20"/>
          <w:rtl w:val="0"/>
          <w:lang w:val="en-US"/>
        </w:rPr>
        <w:t>M&amp;S</w:t>
      </w:r>
    </w:p>
    <w:p>
      <w:pPr>
        <w:pStyle w:val="Default"/>
        <w:spacing w:before="0" w:after="120" w:line="240" w:lineRule="auto"/>
        <w:jc w:val="left"/>
        <w:rPr>
          <w:rFonts w:ascii="Times New Roman" w:cs="Times New Roman" w:hAnsi="Times New Roman" w:eastAsia="Times New Roman"/>
          <w:lang w:val="en-US"/>
        </w:rPr>
      </w:pPr>
    </w:p>
    <w:p>
      <w:pPr>
        <w:pStyle w:val="Default"/>
        <w:spacing w:before="0" w:after="120" w:line="240" w:lineRule="auto"/>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 xml:space="preserve">GIB - Norman L. </w:t>
      </w:r>
      <w:r>
        <w:rPr>
          <w:rFonts w:ascii="Times New Roman" w:hAnsi="Times New Roman"/>
          <w:sz w:val="20"/>
          <w:szCs w:val="20"/>
          <w:rtl w:val="0"/>
          <w:lang w:val="en-US"/>
        </w:rPr>
        <w:t xml:space="preserve">Geisler </w:t>
      </w:r>
      <w:r>
        <w:rPr>
          <w:rFonts w:ascii="Times New Roman" w:hAnsi="Times New Roman"/>
          <w:sz w:val="20"/>
          <w:szCs w:val="20"/>
          <w:rtl w:val="0"/>
          <w:lang w:val="en-US"/>
        </w:rPr>
        <w:t xml:space="preserve">and William E. Nix, </w:t>
      </w:r>
      <w:r>
        <w:rPr>
          <w:rFonts w:ascii="Times New Roman" w:hAnsi="Times New Roman"/>
          <w:i w:val="1"/>
          <w:iCs w:val="1"/>
          <w:sz w:val="20"/>
          <w:szCs w:val="20"/>
          <w:rtl w:val="0"/>
          <w:lang w:val="en-US"/>
        </w:rPr>
        <w:t>A General Introduction to the Bible (Moody Press, Chicago, 1979)</w:t>
      </w:r>
    </w:p>
    <w:p>
      <w:pPr>
        <w:pStyle w:val="Default"/>
        <w:spacing w:before="0" w:after="120" w:line="240" w:lineRule="auto"/>
        <w:jc w:val="left"/>
        <w:rPr>
          <w:rFonts w:ascii="Times New Roman" w:cs="Times New Roman" w:hAnsi="Times New Roman" w:eastAsia="Times New Roman"/>
          <w:sz w:val="20"/>
          <w:szCs w:val="20"/>
          <w:lang w:val="en-US"/>
        </w:rPr>
      </w:pPr>
      <w:r>
        <w:rPr>
          <w:rFonts w:ascii="Times New Roman" w:hAnsi="Times New Roman"/>
          <w:sz w:val="20"/>
          <w:szCs w:val="20"/>
          <w:rtl w:val="0"/>
          <w:lang w:val="en-US"/>
        </w:rPr>
        <w:t xml:space="preserve">ICB - R. Laird Harris, </w:t>
      </w:r>
      <w:r>
        <w:rPr>
          <w:rFonts w:ascii="Times New Roman" w:hAnsi="Times New Roman"/>
          <w:i w:val="1"/>
          <w:iCs w:val="1"/>
          <w:sz w:val="20"/>
          <w:szCs w:val="20"/>
          <w:rtl w:val="0"/>
          <w:lang w:val="en-US"/>
        </w:rPr>
        <w:t>Inspiration and Canonicity of the Bible</w:t>
      </w:r>
      <w:r>
        <w:rPr>
          <w:rFonts w:ascii="Times New Roman" w:hAnsi="Times New Roman"/>
          <w:sz w:val="20"/>
          <w:szCs w:val="20"/>
          <w:rtl w:val="0"/>
          <w:lang w:val="en-US"/>
        </w:rPr>
        <w:t xml:space="preserve"> (Zondervan, Grand Rapids, Mich., 1957)</w:t>
      </w:r>
    </w:p>
    <w:p>
      <w:pPr>
        <w:pStyle w:val="Default"/>
        <w:spacing w:before="0" w:after="120" w:line="240" w:lineRule="auto"/>
        <w:jc w:val="left"/>
      </w:pPr>
      <w:r>
        <w:rPr>
          <w:rFonts w:ascii="Times New Roman" w:hAnsi="Times New Roman"/>
          <w:sz w:val="20"/>
          <w:szCs w:val="20"/>
          <w:rtl w:val="0"/>
          <w:lang w:val="en-US"/>
        </w:rPr>
        <w:t xml:space="preserve">M&amp;S - John McClintock and James Strong, </w:t>
      </w:r>
      <w:r>
        <w:rPr>
          <w:rFonts w:ascii="Times New Roman" w:hAnsi="Times New Roman"/>
          <w:i w:val="1"/>
          <w:iCs w:val="1"/>
          <w:sz w:val="20"/>
          <w:szCs w:val="20"/>
          <w:rtl w:val="0"/>
          <w:lang w:val="en-US"/>
        </w:rPr>
        <w:t xml:space="preserve">Cyclopedia of Biblical, </w:t>
      </w:r>
      <w:r>
        <w:rPr>
          <w:rFonts w:ascii="Times New Roman" w:hAnsi="Times New Roman"/>
          <w:i w:val="1"/>
          <w:iCs w:val="1"/>
          <w:sz w:val="20"/>
          <w:szCs w:val="20"/>
          <w:rtl w:val="0"/>
          <w:lang w:val="en-US"/>
        </w:rPr>
        <w:t>Theological,</w:t>
      </w:r>
      <w:r>
        <w:rPr>
          <w:rFonts w:ascii="Times New Roman" w:hAnsi="Times New Roman"/>
          <w:i w:val="1"/>
          <w:iCs w:val="1"/>
          <w:sz w:val="20"/>
          <w:szCs w:val="20"/>
          <w:rtl w:val="0"/>
          <w:lang w:val="en-US"/>
        </w:rPr>
        <w:t xml:space="preserve"> and Ecclesiastical Literature</w:t>
      </w:r>
      <w:r>
        <w:rPr>
          <w:rFonts w:ascii="Times New Roman" w:hAnsi="Times New Roman"/>
          <w:sz w:val="20"/>
          <w:szCs w:val="20"/>
          <w:rtl w:val="0"/>
          <w:lang w:val="en-US"/>
        </w:rPr>
        <w:t xml:space="preserve"> (2000 AGES Software, Inc.)</w:t>
      </w:r>
    </w:p>
    <w:sectPr>
      <w:type w:val="continuous"/>
      <w:pgSz w:w="12240" w:h="15840" w:orient="portrait"/>
      <w:pgMar w:top="1080" w:right="1080" w:bottom="720" w:left="108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Franklin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5040"/>
        <w:tab w:val="right" w:pos="10080"/>
        <w:tab w:val="clear" w:pos="9020"/>
      </w:tabs>
      <w:jc w:val="left"/>
    </w:pPr>
    <w:r>
      <w:rPr>
        <w:sz w:val="18"/>
        <w:szCs w:val="18"/>
      </w:rPr>
      <w:tab/>
      <w:tab/>
    </w:r>
    <w:r>
      <w:rPr>
        <w:sz w:val="18"/>
        <w:szCs w:val="18"/>
        <w:rtl w:val="0"/>
        <w:lang w:val="en-US"/>
      </w:rPr>
      <w:t xml:space="preserve">page </w:t>
    </w:r>
    <w:r>
      <w:rPr>
        <w:sz w:val="18"/>
        <w:szCs w:val="18"/>
      </w:rPr>
      <w:fldChar w:fldCharType="begin" w:fldLock="0"/>
    </w:r>
    <w:r>
      <w:rPr>
        <w:sz w:val="18"/>
        <w:szCs w:val="18"/>
      </w:rPr>
      <w:instrText xml:space="preserve"> PAGE </w:instrText>
    </w:r>
    <w:r>
      <w:rPr>
        <w:sz w:val="18"/>
        <w:szCs w:val="18"/>
      </w:rPr>
      <w:fldChar w:fldCharType="separate" w:fldLock="0"/>
    </w:r>
    <w:r>
      <w:rPr>
        <w:sz w:val="18"/>
        <w:szCs w:val="18"/>
      </w:rPr>
    </w:r>
    <w:r>
      <w:rPr>
        <w:sz w:val="18"/>
        <w:szCs w:val="18"/>
      </w:rPr>
      <w:fldChar w:fldCharType="end" w:fldLock="0"/>
    </w:r>
    <w:r>
      <w:rPr>
        <w:sz w:val="18"/>
        <w:szCs w:val="18"/>
        <w:rtl w:val="0"/>
        <w:lang w:val="en-US"/>
      </w:rPr>
      <w:t xml:space="preserve"> of </w:t>
    </w:r>
    <w:r>
      <w:rPr>
        <w:sz w:val="18"/>
        <w:szCs w:val="18"/>
      </w:rPr>
      <w:fldChar w:fldCharType="begin" w:fldLock="0"/>
    </w:r>
    <w:r>
      <w:rPr>
        <w:sz w:val="18"/>
        <w:szCs w:val="18"/>
      </w:rPr>
      <w:instrText xml:space="preserve"> NUMPAGES </w:instrText>
    </w:r>
    <w:r>
      <w:rPr>
        <w:sz w:val="18"/>
        <w:szCs w:val="18"/>
      </w:rPr>
      <w:fldChar w:fldCharType="separate" w:fldLock="0"/>
    </w:r>
    <w:r>
      <w:rPr>
        <w:sz w:val="18"/>
        <w:szCs w:val="18"/>
      </w:rPr>
    </w:r>
    <w:r>
      <w:rPr>
        <w:sz w:val="18"/>
        <w:szCs w:val="18"/>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ist 1"/>
  </w:abstractNum>
  <w:abstractNum w:abstractNumId="1">
    <w:multiLevelType w:val="hybridMultilevel"/>
    <w:styleLink w:val="List 1"/>
    <w:lvl w:ilvl="0">
      <w:start w:val="1"/>
      <w:numFmt w:val="decimal"/>
      <w:suff w:val="tab"/>
      <w:lvlText w:val="%1."/>
      <w:lvlJc w:val="left"/>
      <w:pPr>
        <w:tabs>
          <w:tab w:val="left" w:pos="360"/>
        </w:tabs>
        <w:ind w:left="288" w:hanging="28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nothing"/>
      <w:lvlText w:val="%1.%2."/>
      <w:lvlJc w:val="left"/>
      <w:pPr>
        <w:tabs>
          <w:tab w:val="left" w:pos="360"/>
        </w:tabs>
        <w:ind w:left="27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1.%2.%3."/>
      <w:lvlJc w:val="left"/>
      <w:pPr>
        <w:tabs>
          <w:tab w:val="left" w:pos="360"/>
        </w:tabs>
        <w:ind w:left="27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tabs>
          <w:tab w:val="left" w:pos="360"/>
        </w:tabs>
        <w:ind w:left="27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tabs>
          <w:tab w:val="left" w:pos="360"/>
        </w:tabs>
        <w:ind w:left="27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tabs>
          <w:tab w:val="left" w:pos="360"/>
        </w:tabs>
        <w:ind w:left="27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tabs>
          <w:tab w:val="left" w:pos="360"/>
        </w:tabs>
        <w:ind w:left="27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360"/>
        </w:tabs>
        <w:ind w:left="27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tabs>
          <w:tab w:val="left" w:pos="360"/>
        </w:tabs>
        <w:ind w:left="27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multiLevelType w:val="hybridMultilevel"/>
    <w:numStyleLink w:val="Bullet"/>
  </w:abstractNum>
  <w:abstractNum w:abstractNumId="3">
    <w:multiLevelType w:val="hybridMultilevel"/>
    <w:styleLink w:val="Bullet"/>
    <w:lvl w:ilvl="0">
      <w:start w:val="1"/>
      <w:numFmt w:val="bullet"/>
      <w:suff w:val="tab"/>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1">
      <w:start w:val="1"/>
      <w:numFmt w:val="bullet"/>
      <w:suff w:val="tab"/>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980" w:hanging="180"/>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2340" w:hanging="180"/>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2700" w:hanging="180"/>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306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multiLevelType w:val="hybridMultilevel"/>
    <w:numStyleLink w:val="Numbered"/>
  </w:abstractNum>
  <w:abstractNum w:abstractNumId="5">
    <w:multiLevelType w:val="hybridMultilevel"/>
    <w:styleLink w:val="Numbered"/>
    <w:lvl w:ilvl="0">
      <w:start w:val="1"/>
      <w:numFmt w:val="decimal"/>
      <w:suff w:val="tab"/>
      <w:lvlText w:val="%1."/>
      <w:lvlJc w:val="left"/>
      <w:pPr>
        <w:ind w:left="393" w:hanging="37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lowerLetter"/>
      <w:suff w:val="tab"/>
      <w:lvlText w:val="%2."/>
      <w:lvlJc w:val="left"/>
      <w:pPr>
        <w:ind w:left="75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Letter"/>
      <w:suff w:val="tab"/>
      <w:lvlText w:val="%3."/>
      <w:lvlJc w:val="left"/>
      <w:pPr>
        <w:ind w:left="109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lowerLetter"/>
      <w:suff w:val="tab"/>
      <w:lvlText w:val="%4."/>
      <w:lvlJc w:val="left"/>
      <w:pPr>
        <w:ind w:left="143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lowerLetter"/>
      <w:suff w:val="tab"/>
      <w:lvlText w:val="%5."/>
      <w:lvlJc w:val="left"/>
      <w:pPr>
        <w:ind w:left="177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lowerLetter"/>
      <w:suff w:val="tab"/>
      <w:lvlText w:val="%6."/>
      <w:lvlJc w:val="left"/>
      <w:pPr>
        <w:ind w:left="211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lowerLetter"/>
      <w:suff w:val="tab"/>
      <w:lvlText w:val="%7."/>
      <w:lvlJc w:val="left"/>
      <w:pPr>
        <w:ind w:left="245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lowerLetter"/>
      <w:suff w:val="tab"/>
      <w:lvlText w:val="%8."/>
      <w:lvlJc w:val="left"/>
      <w:pPr>
        <w:ind w:left="279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lowerLetter"/>
      <w:suff w:val="tab"/>
      <w:lvlText w:val="%9."/>
      <w:lvlJc w:val="left"/>
      <w:pPr>
        <w:ind w:left="313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multiLevelType w:val="hybridMultilevel"/>
    <w:numStyleLink w:val="List 2"/>
  </w:abstractNum>
  <w:abstractNum w:abstractNumId="7">
    <w:multiLevelType w:val="hybridMultilevel"/>
    <w:styleLink w:val="List 2"/>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4"/>
    <w:lvlOverride w:ilvl="0">
      <w:lvl w:ilvl="0">
        <w:start w:val="1"/>
        <w:numFmt w:val="decimal"/>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75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Letter"/>
        <w:suff w:val="tab"/>
        <w:lvlText w:val="%3."/>
        <w:lvlJc w:val="left"/>
        <w:pPr>
          <w:ind w:left="109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lowerLetter"/>
        <w:suff w:val="tab"/>
        <w:lvlText w:val="%4."/>
        <w:lvlJc w:val="left"/>
        <w:pPr>
          <w:ind w:left="143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lowerLetter"/>
        <w:suff w:val="tab"/>
        <w:lvlText w:val="%5."/>
        <w:lvlJc w:val="left"/>
        <w:pPr>
          <w:ind w:left="177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tab"/>
        <w:lvlText w:val="%6."/>
        <w:lvlJc w:val="left"/>
        <w:pPr>
          <w:ind w:left="211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lowerLetter"/>
        <w:suff w:val="tab"/>
        <w:lvlText w:val="%7."/>
        <w:lvlJc w:val="left"/>
        <w:pPr>
          <w:ind w:left="245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tab"/>
        <w:lvlText w:val="%8."/>
        <w:lvlJc w:val="left"/>
        <w:pPr>
          <w:ind w:left="279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Letter"/>
        <w:suff w:val="tab"/>
        <w:lvlText w:val="%9."/>
        <w:lvlJc w:val="left"/>
        <w:pPr>
          <w:ind w:left="3133" w:hanging="392"/>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8">
    <w:abstractNumId w:val="7"/>
  </w:num>
  <w:num w:numId="9">
    <w:abstractNumId w:val="6"/>
  </w:num>
  <w:num w:numId="10">
    <w:abstractNumId w:val="6"/>
    <w:lvlOverride w:ilvl="0">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suff w:val="tab"/>
        <w:lvlText w:val="·"/>
        <w:lvlJc w:val="left"/>
        <w:pPr>
          <w:tabs>
            <w:tab w:val="left" w:pos="1080"/>
          </w:tabs>
          <w:ind w:left="300" w:hanging="30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List 1">
    <w:name w:val="List 1"/>
    <w:pPr>
      <w:numPr>
        <w:numId w:val="1"/>
      </w:numPr>
    </w:pPr>
  </w:style>
  <w:style w:type="numbering" w:styleId="Bullet">
    <w:name w:val="Bullet"/>
    <w:pPr>
      <w:numPr>
        <w:numId w:val="3"/>
      </w:numPr>
    </w:pPr>
  </w:style>
  <w:style w:type="character" w:styleId="green highlight TNR10">
    <w:name w:val="green highlight TNR10"/>
    <w:rPr>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clear" w:color="auto" w:fill="00f900"/>
      <w:vertAlign w:val="baseline"/>
      <w:lang w:val="en-US"/>
      <w14:textFill>
        <w14:solidFill>
          <w14:srgbClr w14:val="000000"/>
        </w14:solidFill>
      </w14:textFill>
    </w:rPr>
  </w:style>
  <w:style w:type="character" w:styleId="green highlight TNR12">
    <w:name w:val="green highlight TNR12"/>
    <w:rPr>
      <w:rFonts w:ascii="Times New Roman" w:cs="Arial Unicode MS" w:hAnsi="Times New Roman" w:eastAsia="Arial Unicode MS"/>
      <w:b w:val="0"/>
      <w:bCs w:val="0"/>
      <w:i w:val="0"/>
      <w:iCs w:val="0"/>
      <w:caps w:val="0"/>
      <w:smallCaps w:val="0"/>
      <w:strike w:val="0"/>
      <w:dstrike w:val="0"/>
      <w:outline w:val="0"/>
      <w:color w:val="000000"/>
      <w:spacing w:val="0"/>
      <w:position w:val="0"/>
      <w:sz w:val="24"/>
      <w:szCs w:val="24"/>
      <w:u w:val="none"/>
      <w:shd w:val="clear" w:color="auto" w:fill="00f900"/>
      <w:vertAlign w:val="baseline"/>
      <w:lang w:val="en-US"/>
      <w14:textFill>
        <w14:solidFill>
          <w14:srgbClr w14:val="000000"/>
        </w14:solidFill>
      </w14:textFill>
    </w:rPr>
  </w:style>
  <w:style w:type="numbering" w:styleId="Numbered">
    <w:name w:val="Numbered"/>
    <w:pPr>
      <w:numPr>
        <w:numId w:val="5"/>
      </w:numPr>
    </w:pPr>
  </w:style>
  <w:style w:type="character" w:styleId="ref">
    <w:name w:val="ref"/>
    <w:rPr>
      <w:b w:val="1"/>
      <w:bCs w:val="1"/>
      <w:shd w:val="clear" w:color="auto" w:fill="fefb00"/>
      <w:lang w:val="de-DE"/>
    </w:rPr>
  </w:style>
  <w:style w:type="character" w:styleId="ref 10 pt">
    <w:name w:val="ref 10 pt"/>
    <w:rPr>
      <w:b w:val="1"/>
      <w:bCs w:val="1"/>
      <w:sz w:val="20"/>
      <w:szCs w:val="20"/>
      <w:shd w:val="clear" w:color="auto" w:fill="fefb00"/>
      <w:lang w:val="en-US"/>
    </w:rPr>
  </w:style>
  <w:style w:type="character" w:styleId="answers">
    <w:name w:val="answers"/>
    <w:rPr>
      <w:sz w:val="20"/>
      <w:szCs w:val="20"/>
      <w:shd w:val="clear" w:color="auto" w:fill="d5d5d5"/>
      <w:lang w:val="en-US"/>
    </w:rPr>
  </w:style>
  <w:style w:type="numbering" w:styleId="List 2">
    <w:name w:val="List 2"/>
    <w:pPr>
      <w:numPr>
        <w:numId w:val="8"/>
      </w:numPr>
    </w:pPr>
  </w:style>
  <w:style w:type="character" w:styleId="green highlight">
    <w:name w:val="green highlight"/>
    <w:rPr>
      <w:rFonts w:ascii="Times New Roman" w:cs="Arial Unicode MS" w:hAnsi="Times New Roman" w:eastAsia="Arial Unicode MS"/>
      <w:b w:val="0"/>
      <w:bCs w:val="0"/>
      <w:i w:val="0"/>
      <w:iCs w:val="0"/>
      <w:caps w:val="0"/>
      <w:smallCaps w:val="0"/>
      <w:strike w:val="0"/>
      <w:dstrike w:val="0"/>
      <w:outline w:val="0"/>
      <w:color w:val="000000"/>
      <w:spacing w:val="0"/>
      <w:position w:val="0"/>
      <w:sz w:val="20"/>
      <w:szCs w:val="20"/>
      <w:u w:val="none"/>
      <w:shd w:val="clear" w:color="auto" w:fill="00f900"/>
      <w:vertAlign w:val="baseline"/>
      <w:lang w:val="en-US"/>
      <w14:textFill>
        <w14:solidFill>
          <w14:srgbClr w14:val="000000"/>
        </w14:solidFill>
      </w14:textFill>
    </w:rPr>
  </w:style>
  <w:style w:type="character" w:styleId="Link">
    <w:name w:val="Link"/>
    <w:rPr>
      <w:u w:val="single"/>
    </w:rPr>
  </w:style>
  <w:style w:type="character" w:styleId="Hyperlink.0">
    <w:name w:val="Hyperlink.0"/>
    <w:basedOn w:val="Link"/>
    <w:next w:val="Hyperlink.0"/>
    <w:rPr>
      <w:u w:val="non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